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DE634" w14:textId="77777777" w:rsidR="00424455" w:rsidRDefault="0090395A" w:rsidP="00950011">
      <w:pPr>
        <w:rPr>
          <w:b/>
          <w:bCs/>
          <w:color w:val="2E74B5" w:themeColor="accent5" w:themeShade="BF"/>
          <w:sz w:val="28"/>
          <w:szCs w:val="28"/>
        </w:rPr>
      </w:pPr>
      <w:r w:rsidRPr="00424455">
        <w:rPr>
          <w:b/>
          <w:bCs/>
          <w:color w:val="2E74B5" w:themeColor="accent5" w:themeShade="BF"/>
          <w:sz w:val="28"/>
          <w:szCs w:val="28"/>
        </w:rPr>
        <w:t xml:space="preserve">Tip Sheet 1: </w:t>
      </w:r>
    </w:p>
    <w:p w14:paraId="234A7430" w14:textId="136D1A7D" w:rsidR="00950011" w:rsidRPr="00424455" w:rsidRDefault="00950011" w:rsidP="00950011">
      <w:pPr>
        <w:rPr>
          <w:rFonts w:cstheme="minorHAnsi"/>
          <w:b/>
          <w:bCs/>
          <w:color w:val="2E74B5" w:themeColor="accent5" w:themeShade="BF"/>
          <w:sz w:val="28"/>
          <w:szCs w:val="28"/>
        </w:rPr>
      </w:pPr>
      <w:r w:rsidRPr="00424455">
        <w:rPr>
          <w:rFonts w:cstheme="minorHAnsi"/>
          <w:b/>
          <w:bCs/>
          <w:color w:val="2E74B5" w:themeColor="accent5" w:themeShade="BF"/>
          <w:sz w:val="28"/>
          <w:szCs w:val="28"/>
        </w:rPr>
        <w:t xml:space="preserve">Coordination Between Social Protection and </w:t>
      </w:r>
      <w:r w:rsidR="00DF4AC8" w:rsidRPr="00424455">
        <w:rPr>
          <w:rFonts w:cstheme="minorHAnsi"/>
          <w:b/>
          <w:bCs/>
          <w:color w:val="2E74B5" w:themeColor="accent5" w:themeShade="BF"/>
          <w:sz w:val="28"/>
          <w:szCs w:val="28"/>
        </w:rPr>
        <w:t>Humanitarian</w:t>
      </w:r>
      <w:r w:rsidRPr="00424455">
        <w:rPr>
          <w:rFonts w:cstheme="minorHAnsi"/>
          <w:b/>
          <w:bCs/>
          <w:color w:val="2E74B5" w:themeColor="accent5" w:themeShade="BF"/>
          <w:sz w:val="28"/>
          <w:szCs w:val="28"/>
        </w:rPr>
        <w:t xml:space="preserve"> Cash </w:t>
      </w:r>
      <w:r w:rsidR="00DF4AC8" w:rsidRPr="00424455">
        <w:rPr>
          <w:rFonts w:cstheme="minorHAnsi"/>
          <w:b/>
          <w:bCs/>
          <w:color w:val="2E74B5" w:themeColor="accent5" w:themeShade="BF"/>
          <w:sz w:val="28"/>
          <w:szCs w:val="28"/>
        </w:rPr>
        <w:t>Coordination Systems</w:t>
      </w:r>
    </w:p>
    <w:p w14:paraId="0C9643EF" w14:textId="71D5503F" w:rsidR="00DB4437" w:rsidRPr="00424455" w:rsidRDefault="009307C3" w:rsidP="00424455">
      <w:pPr>
        <w:shd w:val="clear" w:color="auto" w:fill="2E74B5" w:themeFill="accent5" w:themeFillShade="BF"/>
        <w:rPr>
          <w:b/>
          <w:bCs/>
          <w:color w:val="FFFFFF" w:themeColor="background1"/>
        </w:rPr>
      </w:pPr>
      <w:r w:rsidRPr="00424455">
        <w:rPr>
          <w:b/>
          <w:bCs/>
          <w:color w:val="FFFFFF" w:themeColor="background1"/>
        </w:rPr>
        <w:t>Tip</w:t>
      </w:r>
      <w:r w:rsidR="00604E61" w:rsidRPr="00424455">
        <w:rPr>
          <w:b/>
          <w:bCs/>
          <w:color w:val="FFFFFF" w:themeColor="background1"/>
        </w:rPr>
        <w:t xml:space="preserve"> </w:t>
      </w:r>
      <w:r w:rsidRPr="00424455">
        <w:rPr>
          <w:b/>
          <w:bCs/>
          <w:color w:val="FFFFFF" w:themeColor="background1"/>
        </w:rPr>
        <w:t xml:space="preserve">Sheet for </w:t>
      </w:r>
      <w:r w:rsidR="00DB4437" w:rsidRPr="00424455">
        <w:rPr>
          <w:b/>
          <w:bCs/>
          <w:color w:val="FFFFFF" w:themeColor="background1"/>
        </w:rPr>
        <w:t>Delivering on the Social Protection CCCs in Humanitarian Action</w:t>
      </w:r>
    </w:p>
    <w:p w14:paraId="7F14DB1F" w14:textId="341AE5AC" w:rsidR="00D75BCA" w:rsidRDefault="00D75BCA" w:rsidP="003B31BB">
      <w:pPr>
        <w:spacing w:after="0"/>
        <w:rPr>
          <w:rFonts w:eastAsia="UniversCE-Light" w:cstheme="minorHAnsi"/>
          <w:color w:val="3D3C3B"/>
          <w:sz w:val="20"/>
          <w:szCs w:val="20"/>
        </w:rPr>
      </w:pPr>
      <w:bookmarkStart w:id="0" w:name="_Hlk80627239"/>
      <w:bookmarkStart w:id="1" w:name="_Hlk75941395"/>
      <w:r w:rsidRPr="00424455">
        <w:rPr>
          <w:rFonts w:eastAsia="UniversCE-Light" w:cstheme="minorHAnsi"/>
          <w:b/>
          <w:bCs/>
          <w:color w:val="2E74B5" w:themeColor="accent5" w:themeShade="BF"/>
          <w:sz w:val="20"/>
          <w:szCs w:val="20"/>
        </w:rPr>
        <w:t>Primary Audience</w:t>
      </w:r>
      <w:r w:rsidRPr="00EE67E8">
        <w:rPr>
          <w:rFonts w:eastAsia="UniversCE-Light" w:cstheme="minorHAnsi"/>
          <w:b/>
          <w:bCs/>
          <w:color w:val="3D3C3B"/>
          <w:sz w:val="20"/>
          <w:szCs w:val="20"/>
        </w:rPr>
        <w:t>:</w:t>
      </w:r>
      <w:r w:rsidRPr="00EE67E8">
        <w:rPr>
          <w:rFonts w:eastAsia="UniversCE-Light" w:cstheme="minorHAnsi"/>
          <w:color w:val="3D3C3B"/>
          <w:sz w:val="20"/>
          <w:szCs w:val="20"/>
        </w:rPr>
        <w:t xml:space="preserve"> Social Policy Chiefs, Specialists, </w:t>
      </w:r>
      <w:r w:rsidR="00305E4B" w:rsidRPr="00EE67E8">
        <w:rPr>
          <w:rFonts w:eastAsia="UniversCE-Light" w:cstheme="minorHAnsi"/>
          <w:color w:val="3D3C3B"/>
          <w:sz w:val="20"/>
          <w:szCs w:val="20"/>
        </w:rPr>
        <w:t xml:space="preserve">and </w:t>
      </w:r>
      <w:r w:rsidRPr="00EE67E8">
        <w:rPr>
          <w:rFonts w:eastAsia="UniversCE-Light" w:cstheme="minorHAnsi"/>
          <w:color w:val="3D3C3B"/>
          <w:sz w:val="20"/>
          <w:szCs w:val="20"/>
        </w:rPr>
        <w:t>Officers</w:t>
      </w:r>
      <w:r w:rsidR="004B27B4">
        <w:rPr>
          <w:rFonts w:eastAsia="UniversCE-Light" w:cstheme="minorHAnsi"/>
          <w:color w:val="3D3C3B"/>
          <w:sz w:val="20"/>
          <w:szCs w:val="20"/>
        </w:rPr>
        <w:t>. Emergency specialists and operations colleagues may also find this tip sheet useful.</w:t>
      </w:r>
    </w:p>
    <w:p w14:paraId="5BBC3ECD" w14:textId="77777777" w:rsidR="004B27B4" w:rsidRPr="00EE67E8" w:rsidRDefault="004B27B4" w:rsidP="003B31BB">
      <w:pPr>
        <w:spacing w:after="0"/>
        <w:rPr>
          <w:rFonts w:eastAsia="UniversCE-Light" w:cstheme="minorHAnsi"/>
          <w:color w:val="3D3C3B"/>
          <w:sz w:val="20"/>
          <w:szCs w:val="20"/>
        </w:rPr>
      </w:pPr>
    </w:p>
    <w:p w14:paraId="0A8413EF" w14:textId="1E3FCEB7" w:rsidR="0090395A" w:rsidRDefault="00085435" w:rsidP="00D75BCA">
      <w:pPr>
        <w:autoSpaceDE w:val="0"/>
        <w:autoSpaceDN w:val="0"/>
        <w:adjustRightInd w:val="0"/>
        <w:spacing w:after="0" w:line="240" w:lineRule="auto"/>
        <w:rPr>
          <w:rFonts w:eastAsia="UniversCE-Light" w:cstheme="minorHAnsi"/>
          <w:color w:val="3D3C3B"/>
          <w:sz w:val="20"/>
          <w:szCs w:val="20"/>
        </w:rPr>
      </w:pPr>
      <w:r>
        <w:rPr>
          <w:rFonts w:eastAsia="UniversCE-Light" w:cstheme="minorHAnsi"/>
          <w:color w:val="3D3C3B"/>
          <w:sz w:val="20"/>
          <w:szCs w:val="20"/>
        </w:rPr>
        <w:t xml:space="preserve">The 2020 edition of the Core Commitments for Children in Humanitarian Action includes, for the first time, sector level commitments on social protection. A set of four tip sheets have been prepared to accompany these core commitments and to support UNICEF staff in operationalising them. </w:t>
      </w:r>
    </w:p>
    <w:p w14:paraId="7D1D481C" w14:textId="77777777" w:rsidR="00085435" w:rsidRDefault="00085435" w:rsidP="00D75BCA">
      <w:pPr>
        <w:autoSpaceDE w:val="0"/>
        <w:autoSpaceDN w:val="0"/>
        <w:adjustRightInd w:val="0"/>
        <w:spacing w:after="0" w:line="240" w:lineRule="auto"/>
        <w:rPr>
          <w:rFonts w:eastAsia="UniversCE-Light" w:cstheme="minorHAnsi"/>
          <w:color w:val="3D3C3B"/>
          <w:sz w:val="20"/>
          <w:szCs w:val="20"/>
        </w:rPr>
      </w:pPr>
    </w:p>
    <w:p w14:paraId="6CEFC568" w14:textId="0D6C5DEE" w:rsidR="0081147D" w:rsidRDefault="00D75BCA" w:rsidP="00D75BCA">
      <w:pPr>
        <w:autoSpaceDE w:val="0"/>
        <w:autoSpaceDN w:val="0"/>
        <w:adjustRightInd w:val="0"/>
        <w:spacing w:after="0" w:line="240" w:lineRule="auto"/>
        <w:rPr>
          <w:rFonts w:eastAsia="UniversCE-Light" w:cstheme="minorHAnsi"/>
          <w:color w:val="3D3C3B"/>
          <w:sz w:val="20"/>
          <w:szCs w:val="20"/>
        </w:rPr>
      </w:pPr>
      <w:r w:rsidRPr="00EE67E8">
        <w:rPr>
          <w:rFonts w:eastAsia="UniversCE-Light" w:cstheme="minorHAnsi"/>
          <w:color w:val="3D3C3B"/>
          <w:sz w:val="20"/>
          <w:szCs w:val="20"/>
        </w:rPr>
        <w:t>This tip</w:t>
      </w:r>
      <w:r w:rsidR="00852A6D" w:rsidRPr="00EE67E8">
        <w:rPr>
          <w:rFonts w:eastAsia="UniversCE-Light" w:cstheme="minorHAnsi"/>
          <w:color w:val="3D3C3B"/>
          <w:sz w:val="20"/>
          <w:szCs w:val="20"/>
        </w:rPr>
        <w:t xml:space="preserve"> </w:t>
      </w:r>
      <w:r w:rsidRPr="00EE67E8">
        <w:rPr>
          <w:rFonts w:eastAsia="UniversCE-Light" w:cstheme="minorHAnsi"/>
          <w:color w:val="3D3C3B"/>
          <w:sz w:val="20"/>
          <w:szCs w:val="20"/>
        </w:rPr>
        <w:t>sheet supports UNICEF’s core commitment</w:t>
      </w:r>
      <w:r w:rsidR="003C2B29">
        <w:rPr>
          <w:rFonts w:eastAsia="UniversCE-Light" w:cstheme="minorHAnsi"/>
          <w:color w:val="3D3C3B"/>
          <w:sz w:val="20"/>
          <w:szCs w:val="20"/>
        </w:rPr>
        <w:t xml:space="preserve"> on social protection</w:t>
      </w:r>
      <w:r w:rsidRPr="00EE67E8">
        <w:rPr>
          <w:rFonts w:eastAsia="UniversCE-Light" w:cstheme="minorHAnsi"/>
          <w:color w:val="3D3C3B"/>
          <w:sz w:val="20"/>
          <w:szCs w:val="20"/>
        </w:rPr>
        <w:t xml:space="preserve"> to ensure that</w:t>
      </w:r>
      <w:r w:rsidR="003C2B29">
        <w:rPr>
          <w:rFonts w:eastAsia="UniversCE-Light" w:cstheme="minorHAnsi"/>
          <w:color w:val="3D3C3B"/>
          <w:sz w:val="20"/>
          <w:szCs w:val="20"/>
        </w:rPr>
        <w:t>`</w:t>
      </w:r>
      <w:r w:rsidRPr="00EE67E8">
        <w:rPr>
          <w:rFonts w:eastAsia="UniversCE-Light" w:cstheme="minorHAnsi"/>
          <w:b/>
          <w:bCs/>
          <w:color w:val="3D3C3B"/>
          <w:sz w:val="20"/>
          <w:szCs w:val="20"/>
        </w:rPr>
        <w:t xml:space="preserve"> </w:t>
      </w:r>
      <w:r w:rsidRPr="003C2B29">
        <w:rPr>
          <w:rFonts w:eastAsia="UniversCE-Light" w:cstheme="minorHAnsi"/>
          <w:b/>
          <w:bCs/>
          <w:color w:val="3D3C3B"/>
          <w:sz w:val="20"/>
          <w:szCs w:val="20"/>
        </w:rPr>
        <w:t>coordination between the social protection and the humanitarian cash coordination systems is established and functional</w:t>
      </w:r>
      <w:r w:rsidR="003C2B29">
        <w:rPr>
          <w:rFonts w:eastAsia="UniversCE-Light" w:cstheme="minorHAnsi"/>
          <w:b/>
          <w:bCs/>
          <w:color w:val="3D3C3B"/>
          <w:sz w:val="20"/>
          <w:szCs w:val="20"/>
        </w:rPr>
        <w:t>’</w:t>
      </w:r>
      <w:r w:rsidRPr="00EE67E8">
        <w:rPr>
          <w:rFonts w:eastAsia="UniversCE-Light" w:cstheme="minorHAnsi"/>
          <w:color w:val="3D3C3B"/>
          <w:sz w:val="20"/>
          <w:szCs w:val="20"/>
        </w:rPr>
        <w:t>.</w:t>
      </w:r>
      <w:r w:rsidR="0090395A">
        <w:rPr>
          <w:rFonts w:eastAsia="UniversCE-Light" w:cstheme="minorHAnsi"/>
          <w:color w:val="3D3C3B"/>
          <w:sz w:val="20"/>
          <w:szCs w:val="20"/>
        </w:rPr>
        <w:t xml:space="preserve">  </w:t>
      </w:r>
      <w:r w:rsidR="00003E6F" w:rsidRPr="00EE67E8">
        <w:rPr>
          <w:rFonts w:eastAsia="UniversCE-Light" w:cstheme="minorHAnsi"/>
          <w:color w:val="3D3C3B"/>
          <w:sz w:val="20"/>
          <w:szCs w:val="20"/>
        </w:rPr>
        <w:t>Guidance on the related commitment</w:t>
      </w:r>
      <w:r w:rsidR="00C046A5">
        <w:rPr>
          <w:rFonts w:eastAsia="UniversCE-Light" w:cstheme="minorHAnsi"/>
          <w:color w:val="3D3C3B"/>
          <w:sz w:val="20"/>
          <w:szCs w:val="20"/>
        </w:rPr>
        <w:t>s</w:t>
      </w:r>
      <w:r w:rsidR="00003E6F" w:rsidRPr="00EE67E8">
        <w:rPr>
          <w:rFonts w:eastAsia="UniversCE-Light" w:cstheme="minorHAnsi"/>
          <w:color w:val="3D3C3B"/>
          <w:sz w:val="20"/>
          <w:szCs w:val="20"/>
        </w:rPr>
        <w:t xml:space="preserve"> to support </w:t>
      </w:r>
      <w:r w:rsidR="00C046A5">
        <w:rPr>
          <w:rFonts w:eastAsia="UniversCE-Light" w:cstheme="minorHAnsi"/>
          <w:color w:val="3D3C3B"/>
          <w:sz w:val="20"/>
          <w:szCs w:val="20"/>
        </w:rPr>
        <w:t>inclusion</w:t>
      </w:r>
      <w:r w:rsidR="00003E6F" w:rsidRPr="00EE67E8">
        <w:rPr>
          <w:rFonts w:eastAsia="UniversCE-Light" w:cstheme="minorHAnsi"/>
          <w:color w:val="3D3C3B"/>
          <w:sz w:val="20"/>
          <w:szCs w:val="20"/>
        </w:rPr>
        <w:t xml:space="preserve"> of the most disadvantaged and vulnerable families</w:t>
      </w:r>
      <w:r w:rsidR="00C046A5">
        <w:rPr>
          <w:rFonts w:eastAsia="UniversCE-Light" w:cstheme="minorHAnsi"/>
          <w:color w:val="3D3C3B"/>
          <w:sz w:val="20"/>
          <w:szCs w:val="20"/>
        </w:rPr>
        <w:t xml:space="preserve"> in social protection responses</w:t>
      </w:r>
      <w:r w:rsidR="00003E6F" w:rsidRPr="00EE67E8">
        <w:rPr>
          <w:rFonts w:eastAsia="UniversCE-Light" w:cstheme="minorHAnsi"/>
          <w:color w:val="3D3C3B"/>
          <w:sz w:val="20"/>
          <w:szCs w:val="20"/>
        </w:rPr>
        <w:t xml:space="preserve"> </w:t>
      </w:r>
      <w:r w:rsidR="005A66D6" w:rsidRPr="00EE67E8">
        <w:rPr>
          <w:rFonts w:eastAsia="UniversCE-Light" w:cstheme="minorHAnsi"/>
          <w:b/>
          <w:bCs/>
          <w:color w:val="3D3C3B"/>
          <w:sz w:val="20"/>
          <w:szCs w:val="20"/>
        </w:rPr>
        <w:t>[</w:t>
      </w:r>
      <w:r w:rsidR="005A66D6" w:rsidRPr="00EE67E8">
        <w:rPr>
          <w:rFonts w:eastAsia="UniversCE-Light" w:cstheme="minorHAnsi"/>
          <w:b/>
          <w:bCs/>
          <w:i/>
          <w:iCs/>
          <w:color w:val="3D3C3B"/>
          <w:sz w:val="20"/>
          <w:szCs w:val="20"/>
        </w:rPr>
        <w:t>Inclusion</w:t>
      </w:r>
      <w:r w:rsidR="005A66D6" w:rsidRPr="00EE67E8">
        <w:rPr>
          <w:rFonts w:eastAsia="UniversCE-Light" w:cstheme="minorHAnsi"/>
          <w:b/>
          <w:bCs/>
          <w:color w:val="3D3C3B"/>
          <w:sz w:val="20"/>
          <w:szCs w:val="20"/>
        </w:rPr>
        <w:t xml:space="preserve">] </w:t>
      </w:r>
      <w:r w:rsidR="005A66D6" w:rsidRPr="00EE67E8">
        <w:rPr>
          <w:rFonts w:eastAsia="UniversCE-Light" w:cstheme="minorHAnsi"/>
          <w:color w:val="3D3C3B"/>
          <w:sz w:val="20"/>
          <w:szCs w:val="20"/>
        </w:rPr>
        <w:t xml:space="preserve">and to ensure </w:t>
      </w:r>
      <w:r w:rsidR="00C046A5">
        <w:rPr>
          <w:rFonts w:eastAsia="UniversCE-Light" w:cstheme="minorHAnsi"/>
          <w:color w:val="3D3C3B"/>
          <w:sz w:val="20"/>
          <w:szCs w:val="20"/>
        </w:rPr>
        <w:t>accountability to affected populations</w:t>
      </w:r>
      <w:r w:rsidR="005A66D6" w:rsidRPr="00EE67E8">
        <w:rPr>
          <w:rFonts w:eastAsia="UniversCE-Light" w:cstheme="minorHAnsi"/>
          <w:color w:val="3D3C3B"/>
          <w:sz w:val="20"/>
          <w:szCs w:val="20"/>
        </w:rPr>
        <w:t xml:space="preserve"> </w:t>
      </w:r>
      <w:r w:rsidR="005A66D6" w:rsidRPr="00EE67E8">
        <w:rPr>
          <w:rFonts w:eastAsia="UniversCE-Light" w:cstheme="minorHAnsi"/>
          <w:b/>
          <w:bCs/>
          <w:color w:val="3D3C3B"/>
          <w:sz w:val="20"/>
          <w:szCs w:val="20"/>
        </w:rPr>
        <w:t>[</w:t>
      </w:r>
      <w:r w:rsidR="005A66D6" w:rsidRPr="00EE67E8">
        <w:rPr>
          <w:rFonts w:eastAsia="UniversCE-Light" w:cstheme="minorHAnsi"/>
          <w:b/>
          <w:bCs/>
          <w:i/>
          <w:iCs/>
          <w:color w:val="3D3C3B"/>
          <w:sz w:val="20"/>
          <w:szCs w:val="20"/>
        </w:rPr>
        <w:t>AAP</w:t>
      </w:r>
      <w:r w:rsidR="005A66D6" w:rsidRPr="00EE67E8">
        <w:rPr>
          <w:rFonts w:eastAsia="UniversCE-Light" w:cstheme="minorHAnsi"/>
          <w:b/>
          <w:bCs/>
          <w:color w:val="3D3C3B"/>
          <w:sz w:val="20"/>
          <w:szCs w:val="20"/>
        </w:rPr>
        <w:t>]</w:t>
      </w:r>
      <w:r w:rsidR="005A66D6" w:rsidRPr="00EE67E8">
        <w:rPr>
          <w:rFonts w:eastAsia="UniversCE-Light" w:cstheme="minorHAnsi"/>
          <w:color w:val="3D3C3B"/>
          <w:sz w:val="20"/>
          <w:szCs w:val="20"/>
        </w:rPr>
        <w:t xml:space="preserve">, </w:t>
      </w:r>
      <w:r w:rsidR="00C046A5">
        <w:rPr>
          <w:rFonts w:eastAsia="UniversCE-Light" w:cstheme="minorHAnsi"/>
          <w:color w:val="3D3C3B"/>
          <w:sz w:val="20"/>
          <w:szCs w:val="20"/>
        </w:rPr>
        <w:t>are</w:t>
      </w:r>
      <w:r w:rsidR="00003E6F" w:rsidRPr="00EE67E8">
        <w:rPr>
          <w:rFonts w:eastAsia="UniversCE-Light" w:cstheme="minorHAnsi"/>
          <w:color w:val="3D3C3B"/>
          <w:sz w:val="20"/>
          <w:szCs w:val="20"/>
        </w:rPr>
        <w:t xml:space="preserve"> integrated throughout. </w:t>
      </w:r>
      <w:r w:rsidR="0081147D">
        <w:rPr>
          <w:rFonts w:eastAsia="UniversCE-Light" w:cstheme="minorHAnsi"/>
          <w:color w:val="3D3C3B"/>
          <w:sz w:val="20"/>
          <w:szCs w:val="20"/>
        </w:rPr>
        <w:t xml:space="preserve">Links to technical resources are provided throughout. Example documents and tools related to coordination (agreements, MOUs, TORs, operational tools, reports etc.) are available in the </w:t>
      </w:r>
      <w:hyperlink r:id="rId8" w:history="1">
        <w:r w:rsidR="0081147D" w:rsidRPr="006D7F53">
          <w:rPr>
            <w:rStyle w:val="Hyperlink"/>
            <w:rFonts w:eastAsia="UniversCE-Light" w:cstheme="minorHAnsi"/>
            <w:sz w:val="20"/>
            <w:szCs w:val="20"/>
          </w:rPr>
          <w:t>SRSP</w:t>
        </w:r>
        <w:r w:rsidR="006D7F53" w:rsidRPr="006D7F53">
          <w:rPr>
            <w:rStyle w:val="Hyperlink"/>
            <w:rFonts w:eastAsia="UniversCE-Light" w:cstheme="minorHAnsi"/>
            <w:sz w:val="20"/>
            <w:szCs w:val="20"/>
          </w:rPr>
          <w:t xml:space="preserve"> Repository of tools</w:t>
        </w:r>
      </w:hyperlink>
      <w:r w:rsidR="0081147D">
        <w:rPr>
          <w:rFonts w:eastAsia="UniversCE-Light" w:cstheme="minorHAnsi"/>
          <w:color w:val="3D3C3B"/>
          <w:sz w:val="20"/>
          <w:szCs w:val="20"/>
        </w:rPr>
        <w:t>.</w:t>
      </w:r>
      <w:r w:rsidR="0081147D" w:rsidRPr="0081147D">
        <w:rPr>
          <w:rFonts w:eastAsia="UniversCE-Light" w:cstheme="minorHAnsi"/>
          <w:color w:val="3D3C3B"/>
          <w:sz w:val="20"/>
          <w:szCs w:val="20"/>
        </w:rPr>
        <w:t xml:space="preserve"> </w:t>
      </w:r>
    </w:p>
    <w:p w14:paraId="22F172A2" w14:textId="77777777" w:rsidR="0081147D" w:rsidRDefault="0081147D" w:rsidP="00D75BCA">
      <w:pPr>
        <w:autoSpaceDE w:val="0"/>
        <w:autoSpaceDN w:val="0"/>
        <w:adjustRightInd w:val="0"/>
        <w:spacing w:after="0" w:line="240" w:lineRule="auto"/>
        <w:rPr>
          <w:rFonts w:eastAsia="UniversCE-Light" w:cstheme="minorHAnsi"/>
          <w:color w:val="3D3C3B"/>
          <w:sz w:val="20"/>
          <w:szCs w:val="20"/>
        </w:rPr>
      </w:pPr>
    </w:p>
    <w:p w14:paraId="4DA53B51" w14:textId="0791517C" w:rsidR="0081147D" w:rsidRPr="00EE67E8" w:rsidRDefault="0081147D" w:rsidP="00D75BCA">
      <w:pPr>
        <w:autoSpaceDE w:val="0"/>
        <w:autoSpaceDN w:val="0"/>
        <w:adjustRightInd w:val="0"/>
        <w:spacing w:after="0" w:line="240" w:lineRule="auto"/>
        <w:rPr>
          <w:rFonts w:eastAsia="UniversCE-Light" w:cstheme="minorHAnsi"/>
          <w:color w:val="3D3C3B"/>
          <w:sz w:val="20"/>
          <w:szCs w:val="20"/>
        </w:rPr>
      </w:pPr>
      <w:r w:rsidRPr="00EE67E8">
        <w:rPr>
          <w:rFonts w:eastAsia="UniversCE-Light" w:cstheme="minorHAnsi"/>
          <w:color w:val="3D3C3B"/>
          <w:sz w:val="20"/>
          <w:szCs w:val="20"/>
        </w:rPr>
        <w:t xml:space="preserve">Related tip sheets include </w:t>
      </w:r>
      <w:r w:rsidRPr="00424455">
        <w:rPr>
          <w:rFonts w:eastAsia="UniversCE-Light" w:cstheme="minorHAnsi"/>
          <w:b/>
          <w:bCs/>
          <w:sz w:val="20"/>
          <w:szCs w:val="20"/>
        </w:rPr>
        <w:t xml:space="preserve">Planning, Designing, and Resourcing and Delivery </w:t>
      </w:r>
      <w:r w:rsidRPr="00424455">
        <w:rPr>
          <w:rFonts w:eastAsia="UniversCE-Light" w:cstheme="minorHAnsi"/>
          <w:sz w:val="20"/>
          <w:szCs w:val="20"/>
        </w:rPr>
        <w:t xml:space="preserve">Systems for </w:t>
      </w:r>
      <w:r w:rsidRPr="00424455">
        <w:rPr>
          <w:rFonts w:eastAsia="UniversCE-Light" w:cstheme="minorHAnsi"/>
          <w:color w:val="3D3C3B"/>
          <w:sz w:val="20"/>
          <w:szCs w:val="20"/>
        </w:rPr>
        <w:t>Social Protection in Humanitarian Action</w:t>
      </w:r>
      <w:r w:rsidRPr="00EE67E8">
        <w:rPr>
          <w:rFonts w:eastAsia="UniversCE-Light" w:cstheme="minorHAnsi"/>
          <w:color w:val="3D3C3B"/>
          <w:sz w:val="20"/>
          <w:szCs w:val="20"/>
        </w:rPr>
        <w:t xml:space="preserve">. Many of the actions </w:t>
      </w:r>
      <w:r>
        <w:rPr>
          <w:rFonts w:eastAsia="UniversCE-Light" w:cstheme="minorHAnsi"/>
          <w:color w:val="3D3C3B"/>
          <w:sz w:val="20"/>
          <w:szCs w:val="20"/>
        </w:rPr>
        <w:t xml:space="preserve">in this tip sheet </w:t>
      </w:r>
      <w:r w:rsidRPr="00EE67E8">
        <w:rPr>
          <w:rFonts w:eastAsia="UniversCE-Light" w:cstheme="minorHAnsi"/>
          <w:color w:val="3D3C3B"/>
          <w:sz w:val="20"/>
          <w:szCs w:val="20"/>
        </w:rPr>
        <w:t>can (and should) form part of emergency preparedness.</w:t>
      </w:r>
    </w:p>
    <w:p w14:paraId="4F269445" w14:textId="77777777" w:rsidR="00D75BCA" w:rsidRPr="00227E45" w:rsidRDefault="00D75BCA" w:rsidP="00D75BCA">
      <w:pPr>
        <w:autoSpaceDE w:val="0"/>
        <w:autoSpaceDN w:val="0"/>
        <w:adjustRightInd w:val="0"/>
        <w:spacing w:after="0" w:line="240" w:lineRule="auto"/>
        <w:rPr>
          <w:rFonts w:eastAsia="UniversCE-Light" w:cstheme="minorHAnsi"/>
          <w:color w:val="3D3C3B"/>
          <w:sz w:val="18"/>
          <w:szCs w:val="18"/>
        </w:rPr>
      </w:pPr>
    </w:p>
    <w:tbl>
      <w:tblPr>
        <w:tblStyle w:val="TableGrid"/>
        <w:tblW w:w="9746" w:type="dxa"/>
        <w:tblLayout w:type="fixed"/>
        <w:tblLook w:val="04A0" w:firstRow="1" w:lastRow="0" w:firstColumn="1" w:lastColumn="0" w:noHBand="0" w:noVBand="1"/>
      </w:tblPr>
      <w:tblGrid>
        <w:gridCol w:w="7763"/>
        <w:gridCol w:w="1983"/>
      </w:tblGrid>
      <w:tr w:rsidR="000F47C8" w:rsidRPr="00EE67E8" w14:paraId="3E3642D4" w14:textId="77777777" w:rsidTr="007C48B2">
        <w:trPr>
          <w:trHeight w:val="363"/>
        </w:trPr>
        <w:tc>
          <w:tcPr>
            <w:tcW w:w="9746" w:type="dxa"/>
            <w:gridSpan w:val="2"/>
            <w:tcBorders>
              <w:top w:val="nil"/>
              <w:left w:val="nil"/>
              <w:bottom w:val="single" w:sz="4" w:space="0" w:color="auto"/>
              <w:right w:val="nil"/>
            </w:tcBorders>
            <w:shd w:val="clear" w:color="auto" w:fill="auto"/>
            <w:vAlign w:val="center"/>
          </w:tcPr>
          <w:bookmarkEnd w:id="0"/>
          <w:p w14:paraId="4B7E0FF0" w14:textId="15D08C00" w:rsidR="000F47C8" w:rsidRPr="00EE67E8" w:rsidRDefault="00072478" w:rsidP="00462D07">
            <w:pPr>
              <w:spacing w:before="60" w:after="60"/>
              <w:rPr>
                <w:rFonts w:cstheme="minorHAnsi"/>
                <w:b/>
                <w:bCs/>
              </w:rPr>
            </w:pPr>
            <w:r w:rsidRPr="00424455">
              <w:rPr>
                <w:rFonts w:cstheme="minorHAnsi"/>
                <w:b/>
                <w:bCs/>
                <w:color w:val="2E74B5" w:themeColor="accent5" w:themeShade="BF"/>
              </w:rPr>
              <w:t xml:space="preserve">1. </w:t>
            </w:r>
            <w:r w:rsidR="000F47C8" w:rsidRPr="00424455">
              <w:rPr>
                <w:rFonts w:cstheme="minorHAnsi"/>
                <w:b/>
                <w:bCs/>
                <w:color w:val="2E74B5" w:themeColor="accent5" w:themeShade="BF"/>
              </w:rPr>
              <w:t>Creat</w:t>
            </w:r>
            <w:r w:rsidR="00C046A5" w:rsidRPr="00424455">
              <w:rPr>
                <w:rFonts w:cstheme="minorHAnsi"/>
                <w:b/>
                <w:bCs/>
                <w:color w:val="2E74B5" w:themeColor="accent5" w:themeShade="BF"/>
              </w:rPr>
              <w:t>e</w:t>
            </w:r>
            <w:r w:rsidR="000F47C8" w:rsidRPr="00424455">
              <w:rPr>
                <w:rFonts w:cstheme="minorHAnsi"/>
                <w:b/>
                <w:bCs/>
                <w:color w:val="2E74B5" w:themeColor="accent5" w:themeShade="BF"/>
              </w:rPr>
              <w:t xml:space="preserve"> a </w:t>
            </w:r>
            <w:r w:rsidR="00653C7C" w:rsidRPr="00424455">
              <w:rPr>
                <w:rFonts w:cstheme="minorHAnsi"/>
                <w:b/>
                <w:bCs/>
                <w:color w:val="2E74B5" w:themeColor="accent5" w:themeShade="BF"/>
              </w:rPr>
              <w:t>C</w:t>
            </w:r>
            <w:r w:rsidR="000F47C8" w:rsidRPr="00424455">
              <w:rPr>
                <w:rFonts w:cstheme="minorHAnsi"/>
                <w:b/>
                <w:bCs/>
                <w:color w:val="2E74B5" w:themeColor="accent5" w:themeShade="BF"/>
              </w:rPr>
              <w:t xml:space="preserve">ollaborative </w:t>
            </w:r>
            <w:r w:rsidR="00653C7C" w:rsidRPr="00424455">
              <w:rPr>
                <w:rFonts w:cstheme="minorHAnsi"/>
                <w:b/>
                <w:bCs/>
                <w:color w:val="2E74B5" w:themeColor="accent5" w:themeShade="BF"/>
              </w:rPr>
              <w:t>E</w:t>
            </w:r>
            <w:r w:rsidR="00032FFE" w:rsidRPr="00424455">
              <w:rPr>
                <w:rFonts w:cstheme="minorHAnsi"/>
                <w:b/>
                <w:bCs/>
                <w:color w:val="2E74B5" w:themeColor="accent5" w:themeShade="BF"/>
              </w:rPr>
              <w:t>nvironment</w:t>
            </w:r>
          </w:p>
        </w:tc>
      </w:tr>
      <w:tr w:rsidR="000F47C8" w:rsidRPr="00EE67E8" w14:paraId="2362047F" w14:textId="77777777" w:rsidTr="00424455">
        <w:trPr>
          <w:trHeight w:val="326"/>
        </w:trPr>
        <w:tc>
          <w:tcPr>
            <w:tcW w:w="7763" w:type="dxa"/>
            <w:tcBorders>
              <w:top w:val="single" w:sz="4" w:space="0" w:color="auto"/>
              <w:left w:val="nil"/>
              <w:bottom w:val="single" w:sz="4" w:space="0" w:color="auto"/>
              <w:right w:val="single" w:sz="4" w:space="0" w:color="auto"/>
            </w:tcBorders>
            <w:shd w:val="clear" w:color="auto" w:fill="2E74B5" w:themeFill="accent5" w:themeFillShade="BF"/>
            <w:vAlign w:val="center"/>
          </w:tcPr>
          <w:p w14:paraId="42AE9449" w14:textId="77777777" w:rsidR="000F47C8" w:rsidRPr="00EE67E8" w:rsidRDefault="000F47C8" w:rsidP="00462D07">
            <w:pPr>
              <w:spacing w:before="60" w:after="60"/>
              <w:rPr>
                <w:rFonts w:cstheme="minorHAnsi"/>
                <w:b/>
                <w:bCs/>
                <w:i/>
                <w:iCs/>
                <w:color w:val="FFFFFF" w:themeColor="background1"/>
              </w:rPr>
            </w:pPr>
            <w:r w:rsidRPr="00EE67E8">
              <w:rPr>
                <w:rFonts w:cstheme="minorHAnsi"/>
                <w:b/>
                <w:bCs/>
                <w:i/>
                <w:iCs/>
                <w:color w:val="FFFFFF" w:themeColor="background1"/>
              </w:rPr>
              <w:t>Actions</w:t>
            </w:r>
          </w:p>
        </w:tc>
        <w:tc>
          <w:tcPr>
            <w:tcW w:w="1983" w:type="dxa"/>
            <w:tcBorders>
              <w:top w:val="single" w:sz="4" w:space="0" w:color="auto"/>
              <w:left w:val="single" w:sz="4" w:space="0" w:color="auto"/>
              <w:bottom w:val="single" w:sz="4" w:space="0" w:color="auto"/>
            </w:tcBorders>
            <w:shd w:val="clear" w:color="auto" w:fill="2E74B5" w:themeFill="accent5" w:themeFillShade="BF"/>
            <w:vAlign w:val="center"/>
          </w:tcPr>
          <w:p w14:paraId="3E7B831F" w14:textId="77777777" w:rsidR="000F47C8" w:rsidRPr="00EE67E8" w:rsidRDefault="000F47C8" w:rsidP="00462D07">
            <w:pPr>
              <w:spacing w:before="60" w:after="60"/>
              <w:rPr>
                <w:rFonts w:cstheme="minorHAnsi"/>
                <w:b/>
                <w:bCs/>
                <w:i/>
                <w:iCs/>
                <w:color w:val="FFFFFF" w:themeColor="background1"/>
              </w:rPr>
            </w:pPr>
            <w:r w:rsidRPr="00EE67E8">
              <w:rPr>
                <w:rFonts w:cstheme="minorHAnsi"/>
                <w:b/>
                <w:bCs/>
                <w:i/>
                <w:iCs/>
                <w:color w:val="FFFFFF" w:themeColor="background1"/>
              </w:rPr>
              <w:t>Resources</w:t>
            </w:r>
          </w:p>
        </w:tc>
      </w:tr>
      <w:tr w:rsidR="002754CD" w:rsidRPr="00EE67E8" w14:paraId="0221726D" w14:textId="77777777" w:rsidTr="00EE67E8">
        <w:trPr>
          <w:trHeight w:val="507"/>
        </w:trPr>
        <w:tc>
          <w:tcPr>
            <w:tcW w:w="7763" w:type="dxa"/>
            <w:tcBorders>
              <w:left w:val="nil"/>
              <w:bottom w:val="dotted" w:sz="4" w:space="0" w:color="auto"/>
              <w:right w:val="single" w:sz="4" w:space="0" w:color="auto"/>
            </w:tcBorders>
            <w:vAlign w:val="center"/>
          </w:tcPr>
          <w:p w14:paraId="6B36A123" w14:textId="293CD327" w:rsidR="00250F96" w:rsidRPr="00EE67E8" w:rsidRDefault="002754CD" w:rsidP="00462D07">
            <w:pPr>
              <w:spacing w:after="60"/>
              <w:rPr>
                <w:rFonts w:cstheme="minorHAnsi"/>
                <w:sz w:val="20"/>
                <w:szCs w:val="20"/>
              </w:rPr>
            </w:pPr>
            <w:r w:rsidRPr="00EE67E8">
              <w:rPr>
                <w:rFonts w:cstheme="minorHAnsi"/>
                <w:sz w:val="20"/>
                <w:szCs w:val="20"/>
              </w:rPr>
              <w:t xml:space="preserve">Discussions around </w:t>
            </w:r>
            <w:r w:rsidR="00F97776" w:rsidRPr="00EE67E8">
              <w:rPr>
                <w:rFonts w:cstheme="minorHAnsi"/>
                <w:sz w:val="20"/>
                <w:szCs w:val="20"/>
              </w:rPr>
              <w:t>social protection</w:t>
            </w:r>
            <w:r w:rsidRPr="00EE67E8">
              <w:rPr>
                <w:rFonts w:cstheme="minorHAnsi"/>
                <w:sz w:val="20"/>
                <w:szCs w:val="20"/>
              </w:rPr>
              <w:t xml:space="preserve"> and emergency cash transfer</w:t>
            </w:r>
            <w:r w:rsidR="00F97776" w:rsidRPr="00EE67E8">
              <w:rPr>
                <w:rFonts w:cstheme="minorHAnsi"/>
                <w:sz w:val="20"/>
                <w:szCs w:val="20"/>
              </w:rPr>
              <w:t>s</w:t>
            </w:r>
            <w:r w:rsidRPr="00EE67E8">
              <w:rPr>
                <w:rFonts w:cstheme="minorHAnsi"/>
                <w:sz w:val="20"/>
                <w:szCs w:val="20"/>
              </w:rPr>
              <w:t xml:space="preserve"> can be </w:t>
            </w:r>
            <w:r w:rsidR="00305E4B" w:rsidRPr="00EE67E8">
              <w:rPr>
                <w:rFonts w:cstheme="minorHAnsi"/>
                <w:sz w:val="20"/>
                <w:szCs w:val="20"/>
              </w:rPr>
              <w:t>made difficult</w:t>
            </w:r>
            <w:r w:rsidRPr="00EE67E8">
              <w:rPr>
                <w:rFonts w:cstheme="minorHAnsi"/>
                <w:sz w:val="20"/>
                <w:szCs w:val="20"/>
              </w:rPr>
              <w:t xml:space="preserve"> by misunderstanding</w:t>
            </w:r>
            <w:r w:rsidR="00F97776" w:rsidRPr="00EE67E8">
              <w:rPr>
                <w:rFonts w:cstheme="minorHAnsi"/>
                <w:sz w:val="20"/>
                <w:szCs w:val="20"/>
              </w:rPr>
              <w:t>s</w:t>
            </w:r>
            <w:r w:rsidRPr="00EE67E8">
              <w:rPr>
                <w:rFonts w:cstheme="minorHAnsi"/>
                <w:sz w:val="20"/>
                <w:szCs w:val="20"/>
              </w:rPr>
              <w:t xml:space="preserve"> and </w:t>
            </w:r>
            <w:r w:rsidR="00305E4B" w:rsidRPr="00EE67E8">
              <w:rPr>
                <w:rFonts w:cstheme="minorHAnsi"/>
                <w:sz w:val="20"/>
                <w:szCs w:val="20"/>
              </w:rPr>
              <w:t xml:space="preserve">differences in </w:t>
            </w:r>
            <w:r w:rsidR="003C2B29">
              <w:rPr>
                <w:rFonts w:cstheme="minorHAnsi"/>
                <w:sz w:val="20"/>
                <w:szCs w:val="20"/>
              </w:rPr>
              <w:t xml:space="preserve">terminologies, </w:t>
            </w:r>
            <w:r w:rsidR="00305E4B" w:rsidRPr="00EE67E8">
              <w:rPr>
                <w:rFonts w:cstheme="minorHAnsi"/>
                <w:sz w:val="20"/>
                <w:szCs w:val="20"/>
              </w:rPr>
              <w:t>objectives</w:t>
            </w:r>
            <w:r w:rsidR="00F97776" w:rsidRPr="00EE67E8">
              <w:rPr>
                <w:rFonts w:cstheme="minorHAnsi"/>
                <w:sz w:val="20"/>
                <w:szCs w:val="20"/>
              </w:rPr>
              <w:t xml:space="preserve"> and expectations</w:t>
            </w:r>
            <w:r w:rsidRPr="00EE67E8">
              <w:rPr>
                <w:rFonts w:cstheme="minorHAnsi"/>
                <w:sz w:val="20"/>
                <w:szCs w:val="20"/>
              </w:rPr>
              <w:t xml:space="preserve">. </w:t>
            </w:r>
          </w:p>
          <w:p w14:paraId="37428C8F" w14:textId="2F077483" w:rsidR="00973BCD" w:rsidRPr="00EE67E8" w:rsidRDefault="00973BCD" w:rsidP="00250F96">
            <w:pPr>
              <w:pStyle w:val="ListParagraph"/>
              <w:numPr>
                <w:ilvl w:val="0"/>
                <w:numId w:val="14"/>
              </w:numPr>
              <w:spacing w:after="60"/>
              <w:ind w:left="284" w:hanging="284"/>
              <w:rPr>
                <w:rFonts w:cstheme="minorHAnsi"/>
                <w:sz w:val="20"/>
                <w:szCs w:val="20"/>
              </w:rPr>
            </w:pPr>
            <w:r w:rsidRPr="00EE67E8">
              <w:rPr>
                <w:rFonts w:cstheme="minorHAnsi"/>
                <w:sz w:val="20"/>
                <w:szCs w:val="20"/>
              </w:rPr>
              <w:t>Appoint an emergency focal point within the Social Policy team</w:t>
            </w:r>
          </w:p>
          <w:p w14:paraId="476FBBFF" w14:textId="4D195472" w:rsidR="00250F96" w:rsidRPr="00EE67E8" w:rsidRDefault="002754CD" w:rsidP="00250F96">
            <w:pPr>
              <w:pStyle w:val="ListParagraph"/>
              <w:numPr>
                <w:ilvl w:val="0"/>
                <w:numId w:val="14"/>
              </w:numPr>
              <w:spacing w:after="60"/>
              <w:ind w:left="284" w:hanging="284"/>
              <w:rPr>
                <w:rFonts w:cstheme="minorHAnsi"/>
                <w:sz w:val="20"/>
                <w:szCs w:val="20"/>
              </w:rPr>
            </w:pPr>
            <w:r w:rsidRPr="00EE67E8">
              <w:rPr>
                <w:rFonts w:cstheme="minorHAnsi"/>
                <w:sz w:val="20"/>
                <w:szCs w:val="20"/>
              </w:rPr>
              <w:t xml:space="preserve">Engage </w:t>
            </w:r>
            <w:r w:rsidR="00305E4B" w:rsidRPr="00EE67E8">
              <w:rPr>
                <w:rFonts w:cstheme="minorHAnsi"/>
                <w:sz w:val="20"/>
                <w:szCs w:val="20"/>
              </w:rPr>
              <w:t xml:space="preserve">early </w:t>
            </w:r>
            <w:r w:rsidRPr="00EE67E8">
              <w:rPr>
                <w:rFonts w:cstheme="minorHAnsi"/>
                <w:sz w:val="20"/>
                <w:szCs w:val="20"/>
              </w:rPr>
              <w:t xml:space="preserve">with </w:t>
            </w:r>
            <w:r w:rsidR="00305E4B" w:rsidRPr="00EE67E8">
              <w:rPr>
                <w:rFonts w:cstheme="minorHAnsi"/>
                <w:sz w:val="20"/>
                <w:szCs w:val="20"/>
              </w:rPr>
              <w:t xml:space="preserve">country </w:t>
            </w:r>
            <w:r w:rsidR="00973BCD" w:rsidRPr="00EE67E8">
              <w:rPr>
                <w:rFonts w:cstheme="minorHAnsi"/>
                <w:sz w:val="20"/>
                <w:szCs w:val="20"/>
              </w:rPr>
              <w:t xml:space="preserve">and/or regional </w:t>
            </w:r>
            <w:r w:rsidR="00305E4B" w:rsidRPr="00EE67E8">
              <w:rPr>
                <w:rFonts w:cstheme="minorHAnsi"/>
                <w:sz w:val="20"/>
                <w:szCs w:val="20"/>
              </w:rPr>
              <w:t xml:space="preserve">level </w:t>
            </w:r>
            <w:r w:rsidRPr="00EE67E8">
              <w:rPr>
                <w:rFonts w:cstheme="minorHAnsi"/>
                <w:sz w:val="20"/>
                <w:szCs w:val="20"/>
              </w:rPr>
              <w:t xml:space="preserve">emergency colleagues. </w:t>
            </w:r>
          </w:p>
          <w:p w14:paraId="15CA53D5" w14:textId="052F21E0" w:rsidR="002754CD" w:rsidRPr="00EE67E8" w:rsidRDefault="002754CD" w:rsidP="00250F96">
            <w:pPr>
              <w:pStyle w:val="ListParagraph"/>
              <w:numPr>
                <w:ilvl w:val="0"/>
                <w:numId w:val="14"/>
              </w:numPr>
              <w:spacing w:after="60"/>
              <w:ind w:left="284" w:hanging="284"/>
              <w:rPr>
                <w:rFonts w:cstheme="minorHAnsi"/>
                <w:sz w:val="20"/>
                <w:szCs w:val="20"/>
              </w:rPr>
            </w:pPr>
            <w:r w:rsidRPr="00EE67E8">
              <w:rPr>
                <w:rFonts w:cstheme="minorHAnsi"/>
                <w:sz w:val="20"/>
                <w:szCs w:val="20"/>
              </w:rPr>
              <w:t xml:space="preserve">Focus on </w:t>
            </w:r>
            <w:r w:rsidR="00F97776" w:rsidRPr="00EE67E8">
              <w:rPr>
                <w:rFonts w:cstheme="minorHAnsi"/>
                <w:sz w:val="20"/>
                <w:szCs w:val="20"/>
              </w:rPr>
              <w:t xml:space="preserve">the </w:t>
            </w:r>
            <w:r w:rsidRPr="00EE67E8">
              <w:rPr>
                <w:rFonts w:cstheme="minorHAnsi"/>
                <w:sz w:val="20"/>
                <w:szCs w:val="20"/>
              </w:rPr>
              <w:t>shared objectives of responding to the needs of vulnerable groups,</w:t>
            </w:r>
            <w:r w:rsidR="00305E4B" w:rsidRPr="00EE67E8">
              <w:rPr>
                <w:rFonts w:cstheme="minorHAnsi"/>
                <w:sz w:val="20"/>
                <w:szCs w:val="20"/>
              </w:rPr>
              <w:t xml:space="preserve"> </w:t>
            </w:r>
            <w:r w:rsidR="00250F96" w:rsidRPr="00EE67E8">
              <w:rPr>
                <w:rFonts w:cstheme="minorHAnsi"/>
                <w:sz w:val="20"/>
                <w:szCs w:val="20"/>
              </w:rPr>
              <w:t>consider</w:t>
            </w:r>
            <w:r w:rsidR="00305E4B" w:rsidRPr="00EE67E8">
              <w:rPr>
                <w:rFonts w:cstheme="minorHAnsi"/>
                <w:sz w:val="20"/>
                <w:szCs w:val="20"/>
              </w:rPr>
              <w:t xml:space="preserve"> humanitarian principles, and jointly assess the modalities</w:t>
            </w:r>
            <w:r w:rsidRPr="00EE67E8">
              <w:rPr>
                <w:rFonts w:cstheme="minorHAnsi"/>
                <w:sz w:val="20"/>
                <w:szCs w:val="20"/>
              </w:rPr>
              <w:t xml:space="preserve"> that work best</w:t>
            </w:r>
            <w:r w:rsidR="00973BCD" w:rsidRPr="00EE67E8">
              <w:rPr>
                <w:rFonts w:cstheme="minorHAnsi"/>
                <w:sz w:val="20"/>
                <w:szCs w:val="20"/>
              </w:rPr>
              <w:t xml:space="preserve"> at different stages of the response</w:t>
            </w:r>
            <w:r w:rsidRPr="00EE67E8">
              <w:rPr>
                <w:rFonts w:cstheme="minorHAnsi"/>
                <w:sz w:val="20"/>
                <w:szCs w:val="20"/>
              </w:rPr>
              <w:t>.</w:t>
            </w:r>
          </w:p>
        </w:tc>
        <w:tc>
          <w:tcPr>
            <w:tcW w:w="1983" w:type="dxa"/>
            <w:vMerge w:val="restart"/>
            <w:tcBorders>
              <w:left w:val="single" w:sz="4" w:space="0" w:color="auto"/>
              <w:right w:val="nil"/>
            </w:tcBorders>
            <w:vAlign w:val="center"/>
          </w:tcPr>
          <w:p w14:paraId="5C0D5003" w14:textId="325E291E" w:rsidR="002754CD" w:rsidRPr="00EE67E8" w:rsidRDefault="002214EC" w:rsidP="00462D07">
            <w:pPr>
              <w:spacing w:after="60"/>
              <w:rPr>
                <w:rFonts w:cstheme="minorHAnsi"/>
                <w:sz w:val="20"/>
                <w:szCs w:val="20"/>
                <w:u w:val="single"/>
              </w:rPr>
            </w:pPr>
            <w:hyperlink r:id="rId9" w:history="1">
              <w:r w:rsidR="002754CD" w:rsidRPr="00305361">
                <w:rPr>
                  <w:rStyle w:val="Hyperlink"/>
                  <w:rFonts w:cstheme="minorHAnsi"/>
                  <w:sz w:val="20"/>
                  <w:szCs w:val="20"/>
                </w:rPr>
                <w:t>UNICEF HCT Programmatic Guidance (Glossary)</w:t>
              </w:r>
            </w:hyperlink>
          </w:p>
          <w:p w14:paraId="0DFEC6E8" w14:textId="09A69269" w:rsidR="002754CD" w:rsidRPr="00EE67E8" w:rsidRDefault="002214EC" w:rsidP="00462D07">
            <w:pPr>
              <w:spacing w:after="60"/>
              <w:rPr>
                <w:rFonts w:cstheme="minorHAnsi"/>
                <w:sz w:val="20"/>
                <w:szCs w:val="20"/>
                <w:u w:val="single"/>
              </w:rPr>
            </w:pPr>
            <w:hyperlink r:id="rId10" w:history="1">
              <w:r w:rsidR="002754CD" w:rsidRPr="00EE67E8">
                <w:rPr>
                  <w:rStyle w:val="Hyperlink"/>
                  <w:rFonts w:cstheme="minorHAnsi"/>
                  <w:sz w:val="20"/>
                  <w:szCs w:val="20"/>
                </w:rPr>
                <w:t>Working with Cash Based Safety Nets in Humanitarian Contexts (</w:t>
              </w:r>
              <w:proofErr w:type="spellStart"/>
              <w:r w:rsidR="002754CD" w:rsidRPr="00EE67E8">
                <w:rPr>
                  <w:rStyle w:val="Hyperlink"/>
                  <w:rFonts w:cstheme="minorHAnsi"/>
                  <w:sz w:val="20"/>
                  <w:szCs w:val="20"/>
                </w:rPr>
                <w:t>CaLP</w:t>
              </w:r>
              <w:proofErr w:type="spellEnd"/>
              <w:r w:rsidR="002754CD" w:rsidRPr="00EE67E8">
                <w:rPr>
                  <w:rStyle w:val="Hyperlink"/>
                  <w:rFonts w:cstheme="minorHAnsi"/>
                  <w:sz w:val="20"/>
                  <w:szCs w:val="20"/>
                </w:rPr>
                <w:t>)</w:t>
              </w:r>
            </w:hyperlink>
          </w:p>
        </w:tc>
      </w:tr>
      <w:tr w:rsidR="002754CD" w:rsidRPr="00EE67E8" w14:paraId="7412CFE4" w14:textId="77777777" w:rsidTr="00EE67E8">
        <w:trPr>
          <w:trHeight w:val="507"/>
        </w:trPr>
        <w:tc>
          <w:tcPr>
            <w:tcW w:w="7763" w:type="dxa"/>
            <w:tcBorders>
              <w:top w:val="dotted" w:sz="4" w:space="0" w:color="auto"/>
              <w:left w:val="nil"/>
              <w:bottom w:val="dotted" w:sz="4" w:space="0" w:color="auto"/>
              <w:right w:val="single" w:sz="4" w:space="0" w:color="auto"/>
            </w:tcBorders>
            <w:vAlign w:val="center"/>
          </w:tcPr>
          <w:p w14:paraId="27A95AC0" w14:textId="5F4FEB38" w:rsidR="002754CD" w:rsidRPr="00EE67E8" w:rsidRDefault="00207255" w:rsidP="00462D07">
            <w:pPr>
              <w:spacing w:after="60"/>
              <w:rPr>
                <w:rFonts w:cstheme="minorHAnsi"/>
                <w:sz w:val="20"/>
                <w:szCs w:val="20"/>
              </w:rPr>
            </w:pPr>
            <w:r w:rsidRPr="00EE67E8">
              <w:rPr>
                <w:rFonts w:cstheme="minorHAnsi"/>
                <w:sz w:val="20"/>
                <w:szCs w:val="20"/>
              </w:rPr>
              <w:t xml:space="preserve">Work with UNICEF senior management to position the social protection sector in inter-agency </w:t>
            </w:r>
            <w:r w:rsidR="00F97776" w:rsidRPr="00EE67E8">
              <w:rPr>
                <w:rFonts w:cstheme="minorHAnsi"/>
                <w:sz w:val="20"/>
                <w:szCs w:val="20"/>
              </w:rPr>
              <w:t xml:space="preserve">emergency </w:t>
            </w:r>
            <w:r w:rsidRPr="00EE67E8">
              <w:rPr>
                <w:rFonts w:cstheme="minorHAnsi"/>
                <w:sz w:val="20"/>
                <w:szCs w:val="20"/>
              </w:rPr>
              <w:t>preparedness and response discussions and cooperation, and to ensure funding for coordination activities.</w:t>
            </w:r>
          </w:p>
        </w:tc>
        <w:tc>
          <w:tcPr>
            <w:tcW w:w="1983" w:type="dxa"/>
            <w:vMerge/>
            <w:tcBorders>
              <w:left w:val="single" w:sz="4" w:space="0" w:color="auto"/>
              <w:right w:val="nil"/>
            </w:tcBorders>
            <w:vAlign w:val="center"/>
          </w:tcPr>
          <w:p w14:paraId="270B3591" w14:textId="4E4C3154" w:rsidR="002754CD" w:rsidRPr="00EE67E8" w:rsidRDefault="002754CD" w:rsidP="00462D07">
            <w:pPr>
              <w:spacing w:after="60"/>
              <w:rPr>
                <w:rFonts w:cstheme="minorHAnsi"/>
                <w:sz w:val="20"/>
                <w:szCs w:val="20"/>
                <w:u w:val="single"/>
              </w:rPr>
            </w:pPr>
          </w:p>
        </w:tc>
      </w:tr>
      <w:tr w:rsidR="002754CD" w:rsidRPr="00EE67E8" w14:paraId="10BC5A77" w14:textId="77777777" w:rsidTr="00EE67E8">
        <w:trPr>
          <w:trHeight w:val="483"/>
        </w:trPr>
        <w:tc>
          <w:tcPr>
            <w:tcW w:w="7763" w:type="dxa"/>
            <w:tcBorders>
              <w:top w:val="dotted" w:sz="4" w:space="0" w:color="auto"/>
              <w:left w:val="nil"/>
              <w:bottom w:val="dotted" w:sz="4" w:space="0" w:color="auto"/>
              <w:right w:val="single" w:sz="4" w:space="0" w:color="auto"/>
            </w:tcBorders>
            <w:vAlign w:val="center"/>
          </w:tcPr>
          <w:p w14:paraId="02533383" w14:textId="43AEF15A" w:rsidR="002754CD" w:rsidRPr="00EE67E8" w:rsidRDefault="002754CD" w:rsidP="00462D07">
            <w:pPr>
              <w:spacing w:after="60"/>
              <w:rPr>
                <w:rFonts w:cstheme="minorHAnsi"/>
                <w:sz w:val="20"/>
                <w:szCs w:val="20"/>
              </w:rPr>
            </w:pPr>
            <w:r w:rsidRPr="00EE67E8">
              <w:rPr>
                <w:rFonts w:cstheme="minorHAnsi"/>
                <w:sz w:val="20"/>
                <w:szCs w:val="20"/>
              </w:rPr>
              <w:t xml:space="preserve">Get to know the key emergency </w:t>
            </w:r>
            <w:r w:rsidR="00B96310" w:rsidRPr="00EE67E8">
              <w:rPr>
                <w:rFonts w:cstheme="minorHAnsi"/>
                <w:sz w:val="20"/>
                <w:szCs w:val="20"/>
              </w:rPr>
              <w:t xml:space="preserve">cash </w:t>
            </w:r>
            <w:r w:rsidR="00A63F7C" w:rsidRPr="00EE67E8">
              <w:rPr>
                <w:rFonts w:cstheme="minorHAnsi"/>
                <w:sz w:val="20"/>
                <w:szCs w:val="20"/>
              </w:rPr>
              <w:t xml:space="preserve">and social protection </w:t>
            </w:r>
            <w:r w:rsidRPr="00EE67E8">
              <w:rPr>
                <w:rFonts w:cstheme="minorHAnsi"/>
                <w:sz w:val="20"/>
                <w:szCs w:val="20"/>
              </w:rPr>
              <w:t>actors. As a priority, identify and engage formally and informally with the largest UN</w:t>
            </w:r>
            <w:r w:rsidR="00F97776" w:rsidRPr="00EE67E8">
              <w:rPr>
                <w:rFonts w:cstheme="minorHAnsi"/>
                <w:sz w:val="20"/>
                <w:szCs w:val="20"/>
              </w:rPr>
              <w:t xml:space="preserve"> and </w:t>
            </w:r>
            <w:r w:rsidRPr="00EE67E8">
              <w:rPr>
                <w:rFonts w:cstheme="minorHAnsi"/>
                <w:sz w:val="20"/>
                <w:szCs w:val="20"/>
              </w:rPr>
              <w:t xml:space="preserve">NGO emergency cash </w:t>
            </w:r>
            <w:r w:rsidR="00A63F7C" w:rsidRPr="00EE67E8">
              <w:rPr>
                <w:rFonts w:cstheme="minorHAnsi"/>
                <w:sz w:val="20"/>
                <w:szCs w:val="20"/>
              </w:rPr>
              <w:t xml:space="preserve">and social protection </w:t>
            </w:r>
            <w:r w:rsidRPr="00EE67E8">
              <w:rPr>
                <w:rFonts w:cstheme="minorHAnsi"/>
                <w:sz w:val="20"/>
                <w:szCs w:val="20"/>
              </w:rPr>
              <w:t>actors in the country</w:t>
            </w:r>
            <w:r w:rsidR="00DF4AC8" w:rsidRPr="00EE67E8">
              <w:rPr>
                <w:rFonts w:cstheme="minorHAnsi"/>
                <w:sz w:val="20"/>
                <w:szCs w:val="20"/>
              </w:rPr>
              <w:t xml:space="preserve"> and with the ministr</w:t>
            </w:r>
            <w:r w:rsidR="00A63F7C" w:rsidRPr="00EE67E8">
              <w:rPr>
                <w:rFonts w:cstheme="minorHAnsi"/>
                <w:sz w:val="20"/>
                <w:szCs w:val="20"/>
              </w:rPr>
              <w:t>ies</w:t>
            </w:r>
            <w:r w:rsidR="00DF4AC8" w:rsidRPr="00EE67E8">
              <w:rPr>
                <w:rFonts w:cstheme="minorHAnsi"/>
                <w:sz w:val="20"/>
                <w:szCs w:val="20"/>
              </w:rPr>
              <w:t xml:space="preserve"> responsible for disaster management</w:t>
            </w:r>
            <w:r w:rsidR="00A63F7C" w:rsidRPr="00EE67E8">
              <w:rPr>
                <w:rFonts w:cstheme="minorHAnsi"/>
                <w:sz w:val="20"/>
                <w:szCs w:val="20"/>
              </w:rPr>
              <w:t xml:space="preserve"> and social protection</w:t>
            </w:r>
            <w:r w:rsidRPr="00EE67E8">
              <w:rPr>
                <w:rFonts w:cstheme="minorHAnsi"/>
                <w:sz w:val="20"/>
                <w:szCs w:val="20"/>
              </w:rPr>
              <w:t>.</w:t>
            </w:r>
          </w:p>
        </w:tc>
        <w:tc>
          <w:tcPr>
            <w:tcW w:w="1983" w:type="dxa"/>
            <w:vMerge/>
            <w:tcBorders>
              <w:left w:val="single" w:sz="4" w:space="0" w:color="auto"/>
              <w:right w:val="nil"/>
            </w:tcBorders>
            <w:vAlign w:val="center"/>
          </w:tcPr>
          <w:p w14:paraId="4CEBE4FB" w14:textId="48269321" w:rsidR="002754CD" w:rsidRPr="00EE67E8" w:rsidRDefault="002754CD" w:rsidP="00462D07">
            <w:pPr>
              <w:pStyle w:val="ListParagraph"/>
              <w:numPr>
                <w:ilvl w:val="0"/>
                <w:numId w:val="4"/>
              </w:numPr>
              <w:spacing w:after="60"/>
              <w:ind w:left="172" w:hanging="172"/>
              <w:rPr>
                <w:rFonts w:cstheme="minorHAnsi"/>
                <w:sz w:val="20"/>
                <w:szCs w:val="20"/>
                <w:u w:val="single"/>
              </w:rPr>
            </w:pPr>
          </w:p>
        </w:tc>
      </w:tr>
      <w:tr w:rsidR="002754CD" w:rsidRPr="00EE67E8" w14:paraId="4842E8EC" w14:textId="77777777" w:rsidTr="00EE67E8">
        <w:trPr>
          <w:trHeight w:val="108"/>
        </w:trPr>
        <w:tc>
          <w:tcPr>
            <w:tcW w:w="7763" w:type="dxa"/>
            <w:tcBorders>
              <w:top w:val="dotted" w:sz="4" w:space="0" w:color="auto"/>
              <w:left w:val="nil"/>
              <w:bottom w:val="dotted" w:sz="4" w:space="0" w:color="auto"/>
              <w:right w:val="single" w:sz="4" w:space="0" w:color="auto"/>
            </w:tcBorders>
            <w:vAlign w:val="center"/>
          </w:tcPr>
          <w:p w14:paraId="24E73337" w14:textId="045BD3DF" w:rsidR="002754CD" w:rsidRPr="00EE67E8" w:rsidRDefault="002754CD" w:rsidP="00462D07">
            <w:pPr>
              <w:spacing w:after="60"/>
              <w:rPr>
                <w:rFonts w:cstheme="minorHAnsi"/>
                <w:sz w:val="20"/>
                <w:szCs w:val="20"/>
              </w:rPr>
            </w:pPr>
            <w:r w:rsidRPr="00EE67E8">
              <w:rPr>
                <w:rFonts w:cstheme="minorHAnsi"/>
                <w:sz w:val="20"/>
                <w:szCs w:val="20"/>
              </w:rPr>
              <w:t xml:space="preserve">Become familiar with emergency cash </w:t>
            </w:r>
            <w:r w:rsidR="00A63F7C" w:rsidRPr="00EE67E8">
              <w:rPr>
                <w:rFonts w:cstheme="minorHAnsi"/>
                <w:sz w:val="20"/>
                <w:szCs w:val="20"/>
              </w:rPr>
              <w:t xml:space="preserve">and social protection </w:t>
            </w:r>
            <w:r w:rsidRPr="00EE67E8">
              <w:rPr>
                <w:rFonts w:cstheme="minorHAnsi"/>
                <w:sz w:val="20"/>
                <w:szCs w:val="20"/>
              </w:rPr>
              <w:t xml:space="preserve">terminology. Understand where </w:t>
            </w:r>
            <w:r w:rsidR="00F97776" w:rsidRPr="00EE67E8">
              <w:rPr>
                <w:rFonts w:cstheme="minorHAnsi"/>
                <w:sz w:val="20"/>
                <w:szCs w:val="20"/>
              </w:rPr>
              <w:t>social protection</w:t>
            </w:r>
            <w:r w:rsidRPr="00EE67E8">
              <w:rPr>
                <w:rFonts w:cstheme="minorHAnsi"/>
                <w:sz w:val="20"/>
                <w:szCs w:val="20"/>
              </w:rPr>
              <w:t xml:space="preserve"> and emergency cash terms differ but have the same meaning</w:t>
            </w:r>
            <w:r w:rsidR="00973BCD" w:rsidRPr="00EE67E8">
              <w:rPr>
                <w:rFonts w:cstheme="minorHAnsi"/>
                <w:sz w:val="20"/>
                <w:szCs w:val="20"/>
              </w:rPr>
              <w:t xml:space="preserve"> (e.g., blanket coverage and universal targeting)</w:t>
            </w:r>
            <w:r w:rsidRPr="00EE67E8">
              <w:rPr>
                <w:rFonts w:cstheme="minorHAnsi"/>
                <w:sz w:val="20"/>
                <w:szCs w:val="20"/>
              </w:rPr>
              <w:t xml:space="preserve">, and </w:t>
            </w:r>
            <w:r w:rsidRPr="00EE67E8">
              <w:rPr>
                <w:rFonts w:cstheme="minorHAnsi"/>
                <w:i/>
                <w:iCs/>
                <w:sz w:val="20"/>
                <w:szCs w:val="20"/>
              </w:rPr>
              <w:t>vice versa</w:t>
            </w:r>
            <w:r w:rsidR="00973BCD" w:rsidRPr="00EE67E8">
              <w:rPr>
                <w:rFonts w:cstheme="minorHAnsi"/>
                <w:i/>
                <w:iCs/>
                <w:sz w:val="20"/>
                <w:szCs w:val="20"/>
              </w:rPr>
              <w:t>.</w:t>
            </w:r>
          </w:p>
        </w:tc>
        <w:tc>
          <w:tcPr>
            <w:tcW w:w="1983" w:type="dxa"/>
            <w:vMerge/>
            <w:tcBorders>
              <w:left w:val="single" w:sz="4" w:space="0" w:color="auto"/>
              <w:right w:val="nil"/>
            </w:tcBorders>
            <w:vAlign w:val="center"/>
          </w:tcPr>
          <w:p w14:paraId="54A4905B" w14:textId="64B4D207" w:rsidR="002754CD" w:rsidRPr="00EE67E8" w:rsidRDefault="002754CD" w:rsidP="00462D07">
            <w:pPr>
              <w:spacing w:after="60"/>
              <w:rPr>
                <w:rFonts w:cstheme="minorHAnsi"/>
                <w:sz w:val="20"/>
                <w:szCs w:val="20"/>
                <w:u w:val="single"/>
              </w:rPr>
            </w:pPr>
          </w:p>
        </w:tc>
      </w:tr>
      <w:tr w:rsidR="002754CD" w:rsidRPr="00EE67E8" w14:paraId="6A9E17ED" w14:textId="77777777" w:rsidTr="00EE67E8">
        <w:trPr>
          <w:trHeight w:val="31"/>
        </w:trPr>
        <w:tc>
          <w:tcPr>
            <w:tcW w:w="7763" w:type="dxa"/>
            <w:tcBorders>
              <w:top w:val="dotted" w:sz="4" w:space="0" w:color="auto"/>
              <w:left w:val="nil"/>
              <w:right w:val="single" w:sz="4" w:space="0" w:color="auto"/>
            </w:tcBorders>
            <w:vAlign w:val="center"/>
          </w:tcPr>
          <w:p w14:paraId="49EE74DC" w14:textId="4B6EEF48" w:rsidR="002754CD" w:rsidRPr="00EE67E8" w:rsidRDefault="002754CD" w:rsidP="00462D07">
            <w:pPr>
              <w:spacing w:after="60"/>
              <w:rPr>
                <w:rFonts w:cstheme="minorHAnsi"/>
                <w:sz w:val="20"/>
                <w:szCs w:val="20"/>
              </w:rPr>
            </w:pPr>
            <w:r w:rsidRPr="00EE67E8">
              <w:rPr>
                <w:rFonts w:cstheme="minorHAnsi"/>
                <w:sz w:val="20"/>
                <w:szCs w:val="20"/>
              </w:rPr>
              <w:t xml:space="preserve">Commit to a long-term collaborative relationship. This will be conducive for future work on </w:t>
            </w:r>
            <w:r w:rsidR="00250F96" w:rsidRPr="00EE67E8">
              <w:rPr>
                <w:rFonts w:cstheme="minorHAnsi"/>
                <w:sz w:val="20"/>
                <w:szCs w:val="20"/>
              </w:rPr>
              <w:t>shock responsive social protection (</w:t>
            </w:r>
            <w:r w:rsidRPr="00EE67E8">
              <w:rPr>
                <w:rFonts w:cstheme="minorHAnsi"/>
                <w:sz w:val="20"/>
                <w:szCs w:val="20"/>
              </w:rPr>
              <w:t>SRSP</w:t>
            </w:r>
            <w:r w:rsidR="00250F96" w:rsidRPr="00EE67E8">
              <w:rPr>
                <w:rFonts w:cstheme="minorHAnsi"/>
                <w:sz w:val="20"/>
                <w:szCs w:val="20"/>
              </w:rPr>
              <w:t>)</w:t>
            </w:r>
            <w:r w:rsidRPr="00EE67E8">
              <w:rPr>
                <w:rFonts w:cstheme="minorHAnsi"/>
                <w:sz w:val="20"/>
                <w:szCs w:val="20"/>
              </w:rPr>
              <w:t xml:space="preserve"> and emergency cash preparedness and response.</w:t>
            </w:r>
          </w:p>
        </w:tc>
        <w:tc>
          <w:tcPr>
            <w:tcW w:w="1983" w:type="dxa"/>
            <w:vMerge/>
            <w:tcBorders>
              <w:left w:val="single" w:sz="4" w:space="0" w:color="auto"/>
              <w:right w:val="nil"/>
            </w:tcBorders>
            <w:vAlign w:val="center"/>
          </w:tcPr>
          <w:p w14:paraId="5C05EE91" w14:textId="77777777" w:rsidR="002754CD" w:rsidRPr="00EE67E8" w:rsidRDefault="002754CD" w:rsidP="00462D07">
            <w:pPr>
              <w:spacing w:after="60"/>
              <w:rPr>
                <w:rFonts w:cstheme="minorHAnsi"/>
                <w:sz w:val="20"/>
                <w:szCs w:val="20"/>
                <w:u w:val="single"/>
              </w:rPr>
            </w:pPr>
          </w:p>
        </w:tc>
      </w:tr>
      <w:tr w:rsidR="00761CEF" w:rsidRPr="00EE67E8" w14:paraId="48051720" w14:textId="77777777" w:rsidTr="007C48B2">
        <w:trPr>
          <w:trHeight w:val="353"/>
        </w:trPr>
        <w:tc>
          <w:tcPr>
            <w:tcW w:w="9746" w:type="dxa"/>
            <w:gridSpan w:val="2"/>
            <w:tcBorders>
              <w:top w:val="nil"/>
              <w:left w:val="nil"/>
              <w:bottom w:val="single" w:sz="4" w:space="0" w:color="auto"/>
              <w:right w:val="nil"/>
            </w:tcBorders>
            <w:shd w:val="clear" w:color="auto" w:fill="auto"/>
            <w:vAlign w:val="center"/>
          </w:tcPr>
          <w:p w14:paraId="5E74F5C3" w14:textId="1120AFEB" w:rsidR="00761CEF" w:rsidRPr="00EE67E8" w:rsidRDefault="00072478" w:rsidP="009E4E51">
            <w:pPr>
              <w:spacing w:before="240" w:after="60"/>
              <w:rPr>
                <w:rFonts w:cstheme="minorHAnsi"/>
                <w:b/>
                <w:bCs/>
              </w:rPr>
            </w:pPr>
            <w:r w:rsidRPr="00424455">
              <w:rPr>
                <w:rFonts w:cstheme="minorHAnsi"/>
                <w:b/>
                <w:bCs/>
                <w:color w:val="2E74B5" w:themeColor="accent5" w:themeShade="BF"/>
              </w:rPr>
              <w:t xml:space="preserve">2. </w:t>
            </w:r>
            <w:r w:rsidR="00AA3075" w:rsidRPr="00424455">
              <w:rPr>
                <w:rFonts w:cstheme="minorHAnsi"/>
                <w:b/>
                <w:bCs/>
                <w:color w:val="2E74B5" w:themeColor="accent5" w:themeShade="BF"/>
              </w:rPr>
              <w:t>Engag</w:t>
            </w:r>
            <w:r w:rsidR="00C046A5" w:rsidRPr="00424455">
              <w:rPr>
                <w:rFonts w:cstheme="minorHAnsi"/>
                <w:b/>
                <w:bCs/>
                <w:color w:val="2E74B5" w:themeColor="accent5" w:themeShade="BF"/>
              </w:rPr>
              <w:t>e</w:t>
            </w:r>
            <w:r w:rsidR="00AA3075" w:rsidRPr="00424455">
              <w:rPr>
                <w:rFonts w:cstheme="minorHAnsi"/>
                <w:b/>
                <w:bCs/>
                <w:color w:val="2E74B5" w:themeColor="accent5" w:themeShade="BF"/>
              </w:rPr>
              <w:t xml:space="preserve"> with </w:t>
            </w:r>
            <w:r w:rsidR="006C73D5" w:rsidRPr="00424455">
              <w:rPr>
                <w:rFonts w:cstheme="minorHAnsi"/>
                <w:b/>
                <w:bCs/>
                <w:color w:val="2E74B5" w:themeColor="accent5" w:themeShade="BF"/>
              </w:rPr>
              <w:t xml:space="preserve">the </w:t>
            </w:r>
            <w:r w:rsidR="00761CEF" w:rsidRPr="00424455">
              <w:rPr>
                <w:rFonts w:cstheme="minorHAnsi"/>
                <w:b/>
                <w:bCs/>
                <w:color w:val="2E74B5" w:themeColor="accent5" w:themeShade="BF"/>
              </w:rPr>
              <w:t>Cash Working Group</w:t>
            </w:r>
            <w:r w:rsidR="00220447" w:rsidRPr="00424455">
              <w:rPr>
                <w:rFonts w:cstheme="minorHAnsi"/>
                <w:b/>
                <w:bCs/>
                <w:color w:val="2E74B5" w:themeColor="accent5" w:themeShade="BF"/>
              </w:rPr>
              <w:t xml:space="preserve"> (CWG)</w:t>
            </w:r>
          </w:p>
        </w:tc>
      </w:tr>
      <w:tr w:rsidR="00761CEF" w:rsidRPr="00EE67E8" w14:paraId="2DC6F754" w14:textId="77777777" w:rsidTr="00424455">
        <w:trPr>
          <w:trHeight w:val="326"/>
        </w:trPr>
        <w:tc>
          <w:tcPr>
            <w:tcW w:w="7763" w:type="dxa"/>
            <w:tcBorders>
              <w:top w:val="single" w:sz="4" w:space="0" w:color="auto"/>
              <w:bottom w:val="single" w:sz="4" w:space="0" w:color="auto"/>
            </w:tcBorders>
            <w:shd w:val="clear" w:color="auto" w:fill="2E74B5" w:themeFill="accent5" w:themeFillShade="BF"/>
            <w:vAlign w:val="center"/>
          </w:tcPr>
          <w:p w14:paraId="065505F0" w14:textId="77777777" w:rsidR="00761CEF" w:rsidRPr="00EE67E8" w:rsidRDefault="00761CEF" w:rsidP="00462D07">
            <w:pPr>
              <w:spacing w:before="60" w:after="60"/>
              <w:rPr>
                <w:rFonts w:cstheme="minorHAnsi"/>
                <w:b/>
                <w:bCs/>
                <w:i/>
                <w:iCs/>
                <w:color w:val="FFFFFF" w:themeColor="background1"/>
              </w:rPr>
            </w:pPr>
            <w:r w:rsidRPr="00EE67E8">
              <w:rPr>
                <w:rFonts w:cstheme="minorHAnsi"/>
                <w:b/>
                <w:bCs/>
                <w:i/>
                <w:iCs/>
                <w:color w:val="FFFFFF" w:themeColor="background1"/>
              </w:rPr>
              <w:t>Actions</w:t>
            </w:r>
          </w:p>
        </w:tc>
        <w:tc>
          <w:tcPr>
            <w:tcW w:w="1983" w:type="dxa"/>
            <w:tcBorders>
              <w:top w:val="single" w:sz="4" w:space="0" w:color="auto"/>
              <w:bottom w:val="single" w:sz="4" w:space="0" w:color="auto"/>
            </w:tcBorders>
            <w:shd w:val="clear" w:color="auto" w:fill="2E74B5" w:themeFill="accent5" w:themeFillShade="BF"/>
            <w:vAlign w:val="center"/>
          </w:tcPr>
          <w:p w14:paraId="06D17D77" w14:textId="77777777" w:rsidR="00761CEF" w:rsidRPr="00EE67E8" w:rsidRDefault="00761CEF" w:rsidP="00462D07">
            <w:pPr>
              <w:spacing w:before="60" w:after="60"/>
              <w:rPr>
                <w:rFonts w:cstheme="minorHAnsi"/>
                <w:b/>
                <w:bCs/>
                <w:i/>
                <w:iCs/>
                <w:color w:val="FFFFFF" w:themeColor="background1"/>
              </w:rPr>
            </w:pPr>
            <w:r w:rsidRPr="00EE67E8">
              <w:rPr>
                <w:rFonts w:cstheme="minorHAnsi"/>
                <w:b/>
                <w:bCs/>
                <w:i/>
                <w:iCs/>
                <w:color w:val="FFFFFF" w:themeColor="background1"/>
              </w:rPr>
              <w:t>Resources</w:t>
            </w:r>
          </w:p>
        </w:tc>
      </w:tr>
      <w:tr w:rsidR="00604E61" w:rsidRPr="00EE67E8" w14:paraId="67442AA2" w14:textId="77777777" w:rsidTr="00EE67E8">
        <w:trPr>
          <w:trHeight w:val="454"/>
        </w:trPr>
        <w:tc>
          <w:tcPr>
            <w:tcW w:w="7763" w:type="dxa"/>
            <w:tcBorders>
              <w:left w:val="nil"/>
              <w:bottom w:val="dotted" w:sz="4" w:space="0" w:color="auto"/>
              <w:right w:val="single" w:sz="4" w:space="0" w:color="auto"/>
            </w:tcBorders>
            <w:vAlign w:val="center"/>
          </w:tcPr>
          <w:p w14:paraId="0E37DA71" w14:textId="28CD1E20" w:rsidR="00604E61" w:rsidRPr="00EE67E8" w:rsidRDefault="00604E61" w:rsidP="00604E61">
            <w:pPr>
              <w:spacing w:after="60"/>
              <w:rPr>
                <w:rFonts w:cstheme="minorHAnsi"/>
                <w:sz w:val="20"/>
                <w:szCs w:val="20"/>
              </w:rPr>
            </w:pPr>
            <w:r w:rsidRPr="00EE67E8">
              <w:rPr>
                <w:rFonts w:cstheme="minorHAnsi"/>
                <w:sz w:val="20"/>
                <w:szCs w:val="20"/>
              </w:rPr>
              <w:t xml:space="preserve">Get to know the history and politics of the CWG in your country. </w:t>
            </w:r>
            <w:r w:rsidR="00973BCD" w:rsidRPr="00EE67E8">
              <w:rPr>
                <w:rFonts w:cstheme="minorHAnsi"/>
                <w:sz w:val="20"/>
                <w:szCs w:val="20"/>
              </w:rPr>
              <w:t>While not all emergencies use the Cluster system, t</w:t>
            </w:r>
            <w:r w:rsidRPr="00EE67E8">
              <w:rPr>
                <w:rFonts w:cstheme="minorHAnsi"/>
                <w:sz w:val="20"/>
                <w:szCs w:val="20"/>
              </w:rPr>
              <w:t xml:space="preserve">he Inter Cluster Coordination Group (ICCG) terms of reference state that CWGs are sub-groups of the ICCG, with CWG coordinators as full members. However, CWG leadership, mandate, and capacities, and how they link to humanitarian coordination </w:t>
            </w:r>
            <w:r w:rsidRPr="00EE67E8">
              <w:rPr>
                <w:rFonts w:cstheme="minorHAnsi"/>
                <w:sz w:val="20"/>
                <w:szCs w:val="20"/>
              </w:rPr>
              <w:lastRenderedPageBreak/>
              <w:t>architecture, can be different in every context. CWGs are sometimes known as the Cash and Markets Working Group or Cash Coordination Group.</w:t>
            </w:r>
          </w:p>
        </w:tc>
        <w:tc>
          <w:tcPr>
            <w:tcW w:w="1983" w:type="dxa"/>
            <w:vMerge w:val="restart"/>
            <w:tcBorders>
              <w:left w:val="single" w:sz="4" w:space="0" w:color="auto"/>
              <w:right w:val="nil"/>
            </w:tcBorders>
            <w:vAlign w:val="center"/>
          </w:tcPr>
          <w:p w14:paraId="3626E4C0" w14:textId="5589E7E1" w:rsidR="00604E61" w:rsidRPr="00EE67E8" w:rsidRDefault="002214EC" w:rsidP="009E4E51">
            <w:pPr>
              <w:spacing w:after="60"/>
              <w:rPr>
                <w:rFonts w:cstheme="minorHAnsi"/>
                <w:color w:val="FF0000"/>
                <w:sz w:val="20"/>
                <w:szCs w:val="20"/>
                <w:u w:val="single"/>
              </w:rPr>
            </w:pPr>
            <w:hyperlink r:id="rId11" w:history="1">
              <w:r w:rsidR="00604E61" w:rsidRPr="00305361">
                <w:rPr>
                  <w:rStyle w:val="Hyperlink"/>
                  <w:rFonts w:cstheme="minorHAnsi"/>
                  <w:sz w:val="20"/>
                  <w:szCs w:val="20"/>
                </w:rPr>
                <w:t>UNICEF HCT Programmatic Guidance (Chapter 2)</w:t>
              </w:r>
            </w:hyperlink>
          </w:p>
          <w:p w14:paraId="0D225F10" w14:textId="2BEA9EC0" w:rsidR="00604E61" w:rsidRPr="00EE67E8" w:rsidRDefault="002214EC" w:rsidP="009E4E51">
            <w:pPr>
              <w:spacing w:after="60"/>
              <w:rPr>
                <w:rFonts w:cstheme="minorHAnsi"/>
                <w:sz w:val="20"/>
                <w:szCs w:val="20"/>
                <w:u w:val="single"/>
              </w:rPr>
            </w:pPr>
            <w:hyperlink r:id="rId12" w:history="1">
              <w:r w:rsidR="00604E61" w:rsidRPr="00EE67E8">
                <w:rPr>
                  <w:rStyle w:val="Hyperlink"/>
                  <w:rFonts w:cstheme="minorHAnsi"/>
                  <w:sz w:val="20"/>
                  <w:szCs w:val="20"/>
                </w:rPr>
                <w:t>Cash Coordination Tip Sheet (</w:t>
              </w:r>
              <w:proofErr w:type="spellStart"/>
              <w:r w:rsidR="00604E61" w:rsidRPr="00EE67E8">
                <w:rPr>
                  <w:rStyle w:val="Hyperlink"/>
                  <w:rFonts w:cstheme="minorHAnsi"/>
                  <w:sz w:val="20"/>
                  <w:szCs w:val="20"/>
                </w:rPr>
                <w:t>CaLP</w:t>
              </w:r>
              <w:proofErr w:type="spellEnd"/>
              <w:r w:rsidR="00604E61" w:rsidRPr="00EE67E8">
                <w:rPr>
                  <w:rStyle w:val="Hyperlink"/>
                  <w:rFonts w:cstheme="minorHAnsi"/>
                  <w:sz w:val="20"/>
                  <w:szCs w:val="20"/>
                </w:rPr>
                <w:t>)</w:t>
              </w:r>
            </w:hyperlink>
          </w:p>
          <w:p w14:paraId="7AA59CF6" w14:textId="77777777" w:rsidR="00604E61" w:rsidRPr="00EE67E8" w:rsidRDefault="002214EC" w:rsidP="009E4E51">
            <w:pPr>
              <w:spacing w:after="60"/>
              <w:rPr>
                <w:rStyle w:val="Hyperlink"/>
                <w:rFonts w:cstheme="minorHAnsi"/>
                <w:sz w:val="20"/>
                <w:szCs w:val="20"/>
              </w:rPr>
            </w:pPr>
            <w:hyperlink r:id="rId13" w:anchor="gid=593332529" w:history="1">
              <w:r w:rsidR="00604E61" w:rsidRPr="00EE67E8">
                <w:rPr>
                  <w:rStyle w:val="Hyperlink"/>
                  <w:rFonts w:cstheme="minorHAnsi"/>
                  <w:sz w:val="20"/>
                  <w:szCs w:val="20"/>
                </w:rPr>
                <w:t>OCHA Cash coordination mapping</w:t>
              </w:r>
            </w:hyperlink>
          </w:p>
          <w:p w14:paraId="3E837364" w14:textId="77777777" w:rsidR="00604E61" w:rsidRPr="00EE67E8" w:rsidRDefault="002214EC" w:rsidP="009E4E51">
            <w:pPr>
              <w:spacing w:after="60"/>
              <w:rPr>
                <w:rStyle w:val="Hyperlink"/>
                <w:rFonts w:cstheme="minorHAnsi"/>
                <w:sz w:val="20"/>
                <w:szCs w:val="20"/>
              </w:rPr>
            </w:pPr>
            <w:hyperlink r:id="rId14" w:history="1">
              <w:r w:rsidR="00604E61" w:rsidRPr="00EE67E8">
                <w:rPr>
                  <w:rStyle w:val="Hyperlink"/>
                  <w:rFonts w:cstheme="minorHAnsi"/>
                  <w:sz w:val="20"/>
                  <w:szCs w:val="20"/>
                </w:rPr>
                <w:t xml:space="preserve">Hire a </w:t>
              </w:r>
              <w:proofErr w:type="spellStart"/>
              <w:r w:rsidR="00604E61" w:rsidRPr="00EE67E8">
                <w:rPr>
                  <w:rStyle w:val="Hyperlink"/>
                  <w:rFonts w:cstheme="minorHAnsi"/>
                  <w:sz w:val="20"/>
                  <w:szCs w:val="20"/>
                </w:rPr>
                <w:t>CashCap</w:t>
              </w:r>
              <w:proofErr w:type="spellEnd"/>
              <w:r w:rsidR="00604E61" w:rsidRPr="00EE67E8">
                <w:rPr>
                  <w:rStyle w:val="Hyperlink"/>
                  <w:rFonts w:cstheme="minorHAnsi"/>
                  <w:sz w:val="20"/>
                  <w:szCs w:val="20"/>
                </w:rPr>
                <w:t xml:space="preserve"> expert</w:t>
              </w:r>
            </w:hyperlink>
          </w:p>
          <w:p w14:paraId="0FC3D80D" w14:textId="5FC5C0A6" w:rsidR="00604E61" w:rsidRPr="00EE67E8" w:rsidRDefault="00604E61" w:rsidP="009E4E51">
            <w:pPr>
              <w:spacing w:after="60"/>
              <w:rPr>
                <w:rFonts w:cstheme="minorHAnsi"/>
                <w:sz w:val="20"/>
                <w:szCs w:val="20"/>
                <w:u w:val="single"/>
              </w:rPr>
            </w:pPr>
            <w:r w:rsidRPr="00EE67E8">
              <w:rPr>
                <w:rFonts w:cstheme="minorHAnsi"/>
                <w:sz w:val="20"/>
                <w:szCs w:val="20"/>
              </w:rPr>
              <w:t xml:space="preserve">See </w:t>
            </w:r>
            <w:hyperlink r:id="rId15" w:history="1">
              <w:r w:rsidRPr="00EE67E8">
                <w:rPr>
                  <w:rStyle w:val="Hyperlink"/>
                  <w:rFonts w:cstheme="minorHAnsi"/>
                  <w:sz w:val="20"/>
                  <w:szCs w:val="20"/>
                </w:rPr>
                <w:t>Cash Coordination Tip Sheet (</w:t>
              </w:r>
              <w:proofErr w:type="spellStart"/>
              <w:r w:rsidRPr="00EE67E8">
                <w:rPr>
                  <w:rStyle w:val="Hyperlink"/>
                  <w:rFonts w:cstheme="minorHAnsi"/>
                  <w:sz w:val="20"/>
                  <w:szCs w:val="20"/>
                </w:rPr>
                <w:t>CaLP</w:t>
              </w:r>
              <w:proofErr w:type="spellEnd"/>
              <w:r w:rsidRPr="00EE67E8">
                <w:rPr>
                  <w:rStyle w:val="Hyperlink"/>
                  <w:rFonts w:cstheme="minorHAnsi"/>
                  <w:sz w:val="20"/>
                  <w:szCs w:val="20"/>
                </w:rPr>
                <w:t>)</w:t>
              </w:r>
            </w:hyperlink>
            <w:r w:rsidRPr="00EE67E8">
              <w:rPr>
                <w:rFonts w:cstheme="minorHAnsi"/>
                <w:sz w:val="20"/>
                <w:szCs w:val="20"/>
              </w:rPr>
              <w:t xml:space="preserve"> for example CWG and Coordinator TORs</w:t>
            </w:r>
          </w:p>
        </w:tc>
      </w:tr>
      <w:tr w:rsidR="00250F96" w:rsidRPr="00EE67E8" w14:paraId="26C0FE82" w14:textId="77777777" w:rsidTr="00EE67E8">
        <w:trPr>
          <w:trHeight w:val="1738"/>
        </w:trPr>
        <w:tc>
          <w:tcPr>
            <w:tcW w:w="7763" w:type="dxa"/>
            <w:tcBorders>
              <w:top w:val="dotted" w:sz="4" w:space="0" w:color="auto"/>
              <w:left w:val="nil"/>
              <w:right w:val="single" w:sz="4" w:space="0" w:color="auto"/>
            </w:tcBorders>
            <w:vAlign w:val="center"/>
          </w:tcPr>
          <w:p w14:paraId="1D8B5C83" w14:textId="77777777" w:rsidR="00250F96" w:rsidRPr="00EE67E8" w:rsidRDefault="00250F96" w:rsidP="00462D07">
            <w:pPr>
              <w:spacing w:after="60"/>
              <w:rPr>
                <w:rFonts w:cstheme="minorHAnsi"/>
                <w:sz w:val="20"/>
                <w:szCs w:val="20"/>
              </w:rPr>
            </w:pPr>
            <w:r w:rsidRPr="00EE67E8">
              <w:rPr>
                <w:rFonts w:cstheme="minorHAnsi"/>
                <w:sz w:val="20"/>
                <w:szCs w:val="20"/>
              </w:rPr>
              <w:lastRenderedPageBreak/>
              <w:t>Be an active member of the CWG at both national and sub-national levels. This means working with senior management to ensure adequate human resource capacity within the social policy team and assigning specific coordination responsibilities to team members.</w:t>
            </w:r>
          </w:p>
          <w:p w14:paraId="0668C03F" w14:textId="589190CD" w:rsidR="00250F96" w:rsidRPr="00EE67E8" w:rsidRDefault="00250F96" w:rsidP="00250F96">
            <w:pPr>
              <w:pStyle w:val="ListParagraph"/>
              <w:numPr>
                <w:ilvl w:val="0"/>
                <w:numId w:val="15"/>
              </w:numPr>
              <w:spacing w:after="60"/>
              <w:ind w:left="284" w:hanging="284"/>
              <w:rPr>
                <w:rFonts w:cstheme="minorHAnsi"/>
                <w:sz w:val="20"/>
                <w:szCs w:val="20"/>
              </w:rPr>
            </w:pPr>
            <w:r w:rsidRPr="00EE67E8">
              <w:rPr>
                <w:rFonts w:cstheme="minorHAnsi"/>
                <w:sz w:val="20"/>
                <w:szCs w:val="20"/>
              </w:rPr>
              <w:t>Where there is an existing CWG, make sure you are familiar with the TOR, members, and working practices.</w:t>
            </w:r>
          </w:p>
          <w:p w14:paraId="053E8F25" w14:textId="7BA3DC44" w:rsidR="00250F96" w:rsidRPr="00EE67E8" w:rsidRDefault="00250F96" w:rsidP="00250F96">
            <w:pPr>
              <w:pStyle w:val="ListParagraph"/>
              <w:numPr>
                <w:ilvl w:val="0"/>
                <w:numId w:val="15"/>
              </w:numPr>
              <w:spacing w:after="60"/>
              <w:ind w:left="284" w:hanging="284"/>
              <w:rPr>
                <w:rFonts w:cstheme="minorHAnsi"/>
                <w:sz w:val="20"/>
                <w:szCs w:val="20"/>
              </w:rPr>
            </w:pPr>
            <w:r w:rsidRPr="00EE67E8">
              <w:rPr>
                <w:rFonts w:cstheme="minorHAnsi"/>
                <w:sz w:val="20"/>
                <w:szCs w:val="20"/>
              </w:rPr>
              <w:t>In some cases, UNICEF will be well positioned (or required) to Chair or Co-Chair the CWG and/or to fund a full-time CWG Coordinator and Information Officer.</w:t>
            </w:r>
          </w:p>
        </w:tc>
        <w:tc>
          <w:tcPr>
            <w:tcW w:w="1983" w:type="dxa"/>
            <w:vMerge/>
            <w:tcBorders>
              <w:left w:val="single" w:sz="4" w:space="0" w:color="auto"/>
              <w:right w:val="nil"/>
            </w:tcBorders>
            <w:vAlign w:val="center"/>
          </w:tcPr>
          <w:p w14:paraId="4C063F8E" w14:textId="63184BF5" w:rsidR="00250F96" w:rsidRPr="00EE67E8" w:rsidRDefault="00250F96" w:rsidP="00462D07">
            <w:pPr>
              <w:spacing w:after="60"/>
              <w:rPr>
                <w:rFonts w:cstheme="minorHAnsi"/>
                <w:sz w:val="20"/>
                <w:szCs w:val="20"/>
                <w:u w:val="single"/>
              </w:rPr>
            </w:pPr>
          </w:p>
        </w:tc>
      </w:tr>
      <w:tr w:rsidR="00604E61" w:rsidRPr="00EE67E8" w14:paraId="3A5BCC81" w14:textId="77777777" w:rsidTr="00EE67E8">
        <w:trPr>
          <w:trHeight w:val="454"/>
        </w:trPr>
        <w:tc>
          <w:tcPr>
            <w:tcW w:w="7763" w:type="dxa"/>
            <w:tcBorders>
              <w:top w:val="dotted" w:sz="4" w:space="0" w:color="auto"/>
              <w:left w:val="nil"/>
              <w:bottom w:val="dotted" w:sz="4" w:space="0" w:color="auto"/>
              <w:right w:val="single" w:sz="4" w:space="0" w:color="auto"/>
            </w:tcBorders>
            <w:vAlign w:val="center"/>
          </w:tcPr>
          <w:p w14:paraId="4353359E" w14:textId="2D5848C2" w:rsidR="00604E61" w:rsidRPr="00EE67E8" w:rsidRDefault="00817C55" w:rsidP="00462D07">
            <w:pPr>
              <w:spacing w:after="60"/>
              <w:rPr>
                <w:rFonts w:cstheme="minorHAnsi"/>
                <w:sz w:val="20"/>
                <w:szCs w:val="20"/>
              </w:rPr>
            </w:pPr>
            <w:r w:rsidRPr="00EE67E8">
              <w:rPr>
                <w:rFonts w:cstheme="minorHAnsi"/>
                <w:sz w:val="20"/>
                <w:szCs w:val="20"/>
              </w:rPr>
              <w:t>P</w:t>
            </w:r>
            <w:r w:rsidR="00604E61" w:rsidRPr="00EE67E8">
              <w:rPr>
                <w:rFonts w:cstheme="minorHAnsi"/>
                <w:sz w:val="20"/>
                <w:szCs w:val="20"/>
              </w:rPr>
              <w:t xml:space="preserve">romote and facilitate </w:t>
            </w:r>
            <w:r w:rsidRPr="00EE67E8">
              <w:rPr>
                <w:rFonts w:cstheme="minorHAnsi"/>
                <w:sz w:val="20"/>
                <w:szCs w:val="20"/>
              </w:rPr>
              <w:t xml:space="preserve">active </w:t>
            </w:r>
            <w:r w:rsidR="00604E61" w:rsidRPr="00EE67E8">
              <w:rPr>
                <w:rFonts w:cstheme="minorHAnsi"/>
                <w:sz w:val="20"/>
                <w:szCs w:val="20"/>
              </w:rPr>
              <w:t xml:space="preserve">government </w:t>
            </w:r>
            <w:r w:rsidRPr="00EE67E8">
              <w:rPr>
                <w:rFonts w:cstheme="minorHAnsi"/>
                <w:sz w:val="20"/>
                <w:szCs w:val="20"/>
              </w:rPr>
              <w:t xml:space="preserve">participation in or engagement with </w:t>
            </w:r>
            <w:r w:rsidR="00604E61" w:rsidRPr="00EE67E8">
              <w:rPr>
                <w:rFonts w:cstheme="minorHAnsi"/>
                <w:sz w:val="20"/>
                <w:szCs w:val="20"/>
              </w:rPr>
              <w:t>the CWG at national and sub-national levels</w:t>
            </w:r>
            <w:r w:rsidR="00973BCD" w:rsidRPr="00EE67E8">
              <w:rPr>
                <w:rFonts w:cstheme="minorHAnsi"/>
                <w:sz w:val="20"/>
                <w:szCs w:val="20"/>
              </w:rPr>
              <w:t>, with consideration for any political sensitivities related to cash provided to certain populations e.g., refugees</w:t>
            </w:r>
            <w:r w:rsidR="00DF4AC8" w:rsidRPr="00EE67E8">
              <w:rPr>
                <w:rFonts w:cstheme="minorHAnsi"/>
                <w:sz w:val="20"/>
                <w:szCs w:val="20"/>
              </w:rPr>
              <w:t>. W</w:t>
            </w:r>
            <w:r w:rsidRPr="00EE67E8">
              <w:rPr>
                <w:rFonts w:cstheme="minorHAnsi"/>
                <w:sz w:val="20"/>
                <w:szCs w:val="20"/>
              </w:rPr>
              <w:t>here feasible, promote</w:t>
            </w:r>
            <w:r w:rsidR="00DF4AC8" w:rsidRPr="00EE67E8">
              <w:rPr>
                <w:rFonts w:cstheme="minorHAnsi"/>
                <w:sz w:val="20"/>
                <w:szCs w:val="20"/>
              </w:rPr>
              <w:t xml:space="preserve"> </w:t>
            </w:r>
            <w:r w:rsidRPr="00EE67E8">
              <w:rPr>
                <w:rFonts w:cstheme="minorHAnsi"/>
                <w:sz w:val="20"/>
                <w:szCs w:val="20"/>
              </w:rPr>
              <w:t>government leadership</w:t>
            </w:r>
            <w:r w:rsidR="00DF4AC8" w:rsidRPr="00EE67E8">
              <w:rPr>
                <w:rFonts w:cstheme="minorHAnsi"/>
                <w:sz w:val="20"/>
                <w:szCs w:val="20"/>
              </w:rPr>
              <w:t xml:space="preserve"> of the CWG</w:t>
            </w:r>
            <w:r w:rsidR="00973BCD" w:rsidRPr="00EE67E8">
              <w:rPr>
                <w:rFonts w:cstheme="minorHAnsi"/>
                <w:sz w:val="20"/>
                <w:szCs w:val="20"/>
              </w:rPr>
              <w:t>,</w:t>
            </w:r>
          </w:p>
        </w:tc>
        <w:tc>
          <w:tcPr>
            <w:tcW w:w="1983" w:type="dxa"/>
            <w:vMerge/>
            <w:tcBorders>
              <w:left w:val="single" w:sz="4" w:space="0" w:color="auto"/>
              <w:right w:val="nil"/>
            </w:tcBorders>
            <w:vAlign w:val="center"/>
          </w:tcPr>
          <w:p w14:paraId="6A3CD247" w14:textId="3AB2B777" w:rsidR="00604E61" w:rsidRPr="00EE67E8" w:rsidRDefault="00604E61" w:rsidP="00462D07">
            <w:pPr>
              <w:spacing w:after="60"/>
              <w:rPr>
                <w:rFonts w:cstheme="minorHAnsi"/>
                <w:sz w:val="20"/>
                <w:szCs w:val="20"/>
                <w:u w:val="single"/>
              </w:rPr>
            </w:pPr>
          </w:p>
        </w:tc>
      </w:tr>
      <w:tr w:rsidR="00604E61" w:rsidRPr="00EE67E8" w14:paraId="65BEBC88" w14:textId="77777777" w:rsidTr="00EE67E8">
        <w:trPr>
          <w:trHeight w:val="454"/>
        </w:trPr>
        <w:tc>
          <w:tcPr>
            <w:tcW w:w="7763" w:type="dxa"/>
            <w:tcBorders>
              <w:top w:val="dotted" w:sz="4" w:space="0" w:color="auto"/>
              <w:left w:val="nil"/>
              <w:bottom w:val="dotted" w:sz="4" w:space="0" w:color="auto"/>
              <w:right w:val="single" w:sz="4" w:space="0" w:color="auto"/>
            </w:tcBorders>
            <w:vAlign w:val="center"/>
          </w:tcPr>
          <w:p w14:paraId="681FF5C4" w14:textId="3A1DC1A5" w:rsidR="00604E61" w:rsidRPr="00EE67E8" w:rsidRDefault="00604E61" w:rsidP="00462D07">
            <w:pPr>
              <w:spacing w:after="60"/>
              <w:rPr>
                <w:rFonts w:cstheme="minorHAnsi"/>
                <w:sz w:val="20"/>
                <w:szCs w:val="20"/>
              </w:rPr>
            </w:pPr>
            <w:r w:rsidRPr="00EE67E8">
              <w:rPr>
                <w:rFonts w:cstheme="minorHAnsi"/>
                <w:sz w:val="20"/>
                <w:szCs w:val="20"/>
              </w:rPr>
              <w:t xml:space="preserve">Where there is no active CWG, </w:t>
            </w:r>
            <w:r w:rsidR="00072478" w:rsidRPr="00EE67E8">
              <w:rPr>
                <w:rFonts w:cstheme="minorHAnsi"/>
                <w:sz w:val="20"/>
                <w:szCs w:val="20"/>
              </w:rPr>
              <w:t xml:space="preserve">consider the need to </w:t>
            </w:r>
            <w:r w:rsidRPr="00EE67E8">
              <w:rPr>
                <w:rFonts w:cstheme="minorHAnsi"/>
                <w:sz w:val="20"/>
                <w:szCs w:val="20"/>
              </w:rPr>
              <w:t xml:space="preserve">lead or support establishment of a CWG. Define the TOR, mandate, objectives, governance arrangements, resources, membership rules, sub-national structures, working practices, and inter-coordination linkages. </w:t>
            </w:r>
          </w:p>
        </w:tc>
        <w:tc>
          <w:tcPr>
            <w:tcW w:w="1983" w:type="dxa"/>
            <w:vMerge/>
            <w:tcBorders>
              <w:left w:val="single" w:sz="4" w:space="0" w:color="auto"/>
              <w:right w:val="nil"/>
            </w:tcBorders>
            <w:vAlign w:val="center"/>
          </w:tcPr>
          <w:p w14:paraId="2D245432" w14:textId="24EB403F" w:rsidR="00604E61" w:rsidRPr="00EE67E8" w:rsidRDefault="00604E61" w:rsidP="00462D07">
            <w:pPr>
              <w:spacing w:after="60"/>
              <w:rPr>
                <w:rFonts w:cstheme="minorHAnsi"/>
                <w:sz w:val="20"/>
                <w:szCs w:val="20"/>
                <w:u w:val="single"/>
              </w:rPr>
            </w:pPr>
          </w:p>
        </w:tc>
      </w:tr>
      <w:tr w:rsidR="00604E61" w:rsidRPr="00EE67E8" w14:paraId="79B6F8A7" w14:textId="77777777" w:rsidTr="00EE67E8">
        <w:trPr>
          <w:trHeight w:val="132"/>
        </w:trPr>
        <w:tc>
          <w:tcPr>
            <w:tcW w:w="7763" w:type="dxa"/>
            <w:tcBorders>
              <w:top w:val="dotted" w:sz="4" w:space="0" w:color="auto"/>
              <w:left w:val="nil"/>
              <w:right w:val="single" w:sz="4" w:space="0" w:color="auto"/>
            </w:tcBorders>
            <w:vAlign w:val="center"/>
          </w:tcPr>
          <w:p w14:paraId="41AB0972" w14:textId="5FE1B475" w:rsidR="00DF4AC8" w:rsidRPr="00EE67E8" w:rsidRDefault="00C046A5" w:rsidP="00462D07">
            <w:pPr>
              <w:spacing w:after="60"/>
              <w:rPr>
                <w:rFonts w:cstheme="minorHAnsi"/>
                <w:sz w:val="20"/>
                <w:szCs w:val="20"/>
              </w:rPr>
            </w:pPr>
            <w:r w:rsidRPr="00EE67E8">
              <w:rPr>
                <w:rFonts w:eastAsia="UniversCE-Light" w:cstheme="minorHAnsi"/>
                <w:b/>
                <w:bCs/>
                <w:color w:val="3D3C3B"/>
                <w:sz w:val="20"/>
                <w:szCs w:val="20"/>
              </w:rPr>
              <w:t>[</w:t>
            </w:r>
            <w:r w:rsidRPr="00EE67E8">
              <w:rPr>
                <w:rFonts w:eastAsia="UniversCE-Light" w:cstheme="minorHAnsi"/>
                <w:b/>
                <w:bCs/>
                <w:i/>
                <w:iCs/>
                <w:color w:val="3D3C3B"/>
                <w:sz w:val="20"/>
                <w:szCs w:val="20"/>
              </w:rPr>
              <w:t>Inclusion</w:t>
            </w:r>
            <w:r>
              <w:rPr>
                <w:rFonts w:eastAsia="UniversCE-Light" w:cstheme="minorHAnsi"/>
                <w:b/>
                <w:bCs/>
                <w:i/>
                <w:iCs/>
                <w:color w:val="3D3C3B"/>
                <w:sz w:val="20"/>
                <w:szCs w:val="20"/>
              </w:rPr>
              <w:t xml:space="preserve"> and AAP</w:t>
            </w:r>
            <w:r w:rsidRPr="00EE67E8">
              <w:rPr>
                <w:rFonts w:eastAsia="UniversCE-Light" w:cstheme="minorHAnsi"/>
                <w:b/>
                <w:bCs/>
                <w:color w:val="3D3C3B"/>
                <w:sz w:val="20"/>
                <w:szCs w:val="20"/>
              </w:rPr>
              <w:t xml:space="preserve">] </w:t>
            </w:r>
            <w:r w:rsidR="00604E61" w:rsidRPr="00EE67E8">
              <w:rPr>
                <w:rFonts w:cstheme="minorHAnsi"/>
                <w:sz w:val="20"/>
                <w:szCs w:val="20"/>
              </w:rPr>
              <w:t xml:space="preserve">Ensure </w:t>
            </w:r>
            <w:r w:rsidR="006A36B2" w:rsidRPr="00EE67E8">
              <w:rPr>
                <w:rFonts w:cstheme="minorHAnsi"/>
                <w:sz w:val="20"/>
                <w:szCs w:val="20"/>
              </w:rPr>
              <w:t xml:space="preserve">that </w:t>
            </w:r>
            <w:r w:rsidR="005A66D6" w:rsidRPr="00EE67E8">
              <w:rPr>
                <w:rFonts w:cstheme="minorHAnsi"/>
                <w:sz w:val="20"/>
                <w:szCs w:val="20"/>
              </w:rPr>
              <w:t>issues related to</w:t>
            </w:r>
            <w:r w:rsidR="00604E61" w:rsidRPr="00EE67E8">
              <w:rPr>
                <w:rFonts w:cstheme="minorHAnsi"/>
                <w:sz w:val="20"/>
                <w:szCs w:val="20"/>
              </w:rPr>
              <w:t xml:space="preserve"> </w:t>
            </w:r>
            <w:r w:rsidR="005A66D6" w:rsidRPr="00EE67E8">
              <w:rPr>
                <w:rFonts w:cstheme="minorHAnsi"/>
                <w:sz w:val="20"/>
                <w:szCs w:val="20"/>
              </w:rPr>
              <w:t xml:space="preserve">vulnerable and excluded groups (e.g., </w:t>
            </w:r>
            <w:r w:rsidR="00604E61" w:rsidRPr="00EE67E8">
              <w:rPr>
                <w:rFonts w:cstheme="minorHAnsi"/>
                <w:sz w:val="20"/>
                <w:szCs w:val="20"/>
              </w:rPr>
              <w:t>gender, disability</w:t>
            </w:r>
            <w:r w:rsidR="005A66D6" w:rsidRPr="00EE67E8">
              <w:rPr>
                <w:rFonts w:cstheme="minorHAnsi"/>
                <w:sz w:val="20"/>
                <w:szCs w:val="20"/>
              </w:rPr>
              <w:t>)</w:t>
            </w:r>
            <w:r w:rsidR="00604E61" w:rsidRPr="00EE67E8">
              <w:rPr>
                <w:rFonts w:cstheme="minorHAnsi"/>
                <w:sz w:val="20"/>
                <w:szCs w:val="20"/>
              </w:rPr>
              <w:t xml:space="preserve"> </w:t>
            </w:r>
            <w:r w:rsidR="005A66D6" w:rsidRPr="00EE67E8">
              <w:rPr>
                <w:rFonts w:cstheme="minorHAnsi"/>
                <w:sz w:val="20"/>
                <w:szCs w:val="20"/>
              </w:rPr>
              <w:t xml:space="preserve">and accountability to affected populations (consultation, programme communications, </w:t>
            </w:r>
            <w:r w:rsidR="006A36B2" w:rsidRPr="00EE67E8">
              <w:rPr>
                <w:rFonts w:cstheme="minorHAnsi"/>
                <w:sz w:val="20"/>
                <w:szCs w:val="20"/>
              </w:rPr>
              <w:t xml:space="preserve">and </w:t>
            </w:r>
            <w:r w:rsidR="005A66D6" w:rsidRPr="00EE67E8">
              <w:rPr>
                <w:rFonts w:cstheme="minorHAnsi"/>
                <w:sz w:val="20"/>
                <w:szCs w:val="20"/>
              </w:rPr>
              <w:t xml:space="preserve">feedback mechanisms) </w:t>
            </w:r>
            <w:r w:rsidR="00604E61" w:rsidRPr="00EE67E8">
              <w:rPr>
                <w:rFonts w:cstheme="minorHAnsi"/>
                <w:sz w:val="20"/>
                <w:szCs w:val="20"/>
              </w:rPr>
              <w:t xml:space="preserve">are explicitly included in CWG TORs and activities and create thematic sub-groups </w:t>
            </w:r>
            <w:r w:rsidR="00DF4AC8" w:rsidRPr="00EE67E8">
              <w:rPr>
                <w:rFonts w:cstheme="minorHAnsi"/>
                <w:sz w:val="20"/>
                <w:szCs w:val="20"/>
              </w:rPr>
              <w:t>as</w:t>
            </w:r>
            <w:r w:rsidR="00604E61" w:rsidRPr="00EE67E8">
              <w:rPr>
                <w:rFonts w:cstheme="minorHAnsi"/>
                <w:sz w:val="20"/>
                <w:szCs w:val="20"/>
              </w:rPr>
              <w:t xml:space="preserve"> appropriate.</w:t>
            </w:r>
          </w:p>
          <w:p w14:paraId="0B85DBDA" w14:textId="05DEBD2F" w:rsidR="001D6C12" w:rsidRPr="00EE67E8" w:rsidRDefault="001D6C12" w:rsidP="00462D07">
            <w:pPr>
              <w:spacing w:after="60"/>
              <w:rPr>
                <w:rFonts w:cstheme="minorHAnsi"/>
                <w:sz w:val="20"/>
                <w:szCs w:val="20"/>
              </w:rPr>
            </w:pPr>
            <w:r w:rsidRPr="00EE67E8">
              <w:rPr>
                <w:rFonts w:cstheme="minorHAnsi"/>
                <w:sz w:val="20"/>
                <w:szCs w:val="20"/>
              </w:rPr>
              <w:t xml:space="preserve">Make linkages with the protection cluster and other relevant coordination bodies and ensure that communication channels are </w:t>
            </w:r>
            <w:r w:rsidR="00B96310" w:rsidRPr="00EE67E8">
              <w:rPr>
                <w:rFonts w:cstheme="minorHAnsi"/>
                <w:sz w:val="20"/>
                <w:szCs w:val="20"/>
              </w:rPr>
              <w:t>effective,</w:t>
            </w:r>
            <w:r w:rsidRPr="00EE67E8">
              <w:rPr>
                <w:rFonts w:cstheme="minorHAnsi"/>
                <w:sz w:val="20"/>
                <w:szCs w:val="20"/>
              </w:rPr>
              <w:t xml:space="preserve"> and </w:t>
            </w:r>
            <w:r w:rsidR="00B96310" w:rsidRPr="00EE67E8">
              <w:rPr>
                <w:rFonts w:cstheme="minorHAnsi"/>
                <w:sz w:val="20"/>
                <w:szCs w:val="20"/>
              </w:rPr>
              <w:t xml:space="preserve">that </w:t>
            </w:r>
            <w:r w:rsidRPr="00EE67E8">
              <w:rPr>
                <w:rFonts w:cstheme="minorHAnsi"/>
                <w:sz w:val="20"/>
                <w:szCs w:val="20"/>
              </w:rPr>
              <w:t>information flows easily.</w:t>
            </w:r>
          </w:p>
        </w:tc>
        <w:tc>
          <w:tcPr>
            <w:tcW w:w="1983" w:type="dxa"/>
            <w:vMerge/>
            <w:tcBorders>
              <w:left w:val="single" w:sz="4" w:space="0" w:color="auto"/>
              <w:right w:val="nil"/>
            </w:tcBorders>
            <w:vAlign w:val="center"/>
          </w:tcPr>
          <w:p w14:paraId="294FE954" w14:textId="77777777" w:rsidR="00604E61" w:rsidRPr="00EE67E8" w:rsidRDefault="00604E61" w:rsidP="00462D07">
            <w:pPr>
              <w:spacing w:after="60"/>
              <w:rPr>
                <w:rFonts w:cstheme="minorHAnsi"/>
                <w:sz w:val="20"/>
                <w:szCs w:val="20"/>
                <w:u w:val="single"/>
              </w:rPr>
            </w:pPr>
          </w:p>
        </w:tc>
      </w:tr>
      <w:tr w:rsidR="005F4C3F" w:rsidRPr="00EE67E8" w14:paraId="5BBE50AF" w14:textId="77777777" w:rsidTr="007C48B2">
        <w:trPr>
          <w:trHeight w:val="33"/>
        </w:trPr>
        <w:tc>
          <w:tcPr>
            <w:tcW w:w="9746" w:type="dxa"/>
            <w:gridSpan w:val="2"/>
            <w:tcBorders>
              <w:top w:val="nil"/>
              <w:left w:val="nil"/>
              <w:bottom w:val="single" w:sz="4" w:space="0" w:color="auto"/>
              <w:right w:val="nil"/>
            </w:tcBorders>
            <w:shd w:val="clear" w:color="auto" w:fill="auto"/>
            <w:vAlign w:val="center"/>
          </w:tcPr>
          <w:p w14:paraId="3A8A03BE" w14:textId="3BCB7449" w:rsidR="005F4C3F" w:rsidRPr="00424455" w:rsidRDefault="00072478" w:rsidP="009E4E51">
            <w:pPr>
              <w:spacing w:before="240" w:after="60"/>
              <w:rPr>
                <w:rFonts w:cstheme="minorHAnsi"/>
                <w:b/>
                <w:bCs/>
                <w:color w:val="2E74B5" w:themeColor="accent5" w:themeShade="BF"/>
              </w:rPr>
            </w:pPr>
            <w:r w:rsidRPr="00424455">
              <w:rPr>
                <w:rFonts w:cstheme="minorHAnsi"/>
                <w:b/>
                <w:bCs/>
                <w:color w:val="2E74B5" w:themeColor="accent5" w:themeShade="BF"/>
              </w:rPr>
              <w:t xml:space="preserve">3. </w:t>
            </w:r>
            <w:r w:rsidR="007B5A4D" w:rsidRPr="00424455">
              <w:rPr>
                <w:rFonts w:cstheme="minorHAnsi"/>
                <w:b/>
                <w:bCs/>
                <w:color w:val="2E74B5" w:themeColor="accent5" w:themeShade="BF"/>
              </w:rPr>
              <w:t>S</w:t>
            </w:r>
            <w:r w:rsidR="005A149F" w:rsidRPr="00424455">
              <w:rPr>
                <w:rFonts w:cstheme="minorHAnsi"/>
                <w:b/>
                <w:bCs/>
                <w:color w:val="2E74B5" w:themeColor="accent5" w:themeShade="BF"/>
              </w:rPr>
              <w:t xml:space="preserve">ocial </w:t>
            </w:r>
            <w:r w:rsidR="007B5A4D" w:rsidRPr="00424455">
              <w:rPr>
                <w:rFonts w:cstheme="minorHAnsi"/>
                <w:b/>
                <w:bCs/>
                <w:color w:val="2E74B5" w:themeColor="accent5" w:themeShade="BF"/>
              </w:rPr>
              <w:t>P</w:t>
            </w:r>
            <w:r w:rsidR="005A149F" w:rsidRPr="00424455">
              <w:rPr>
                <w:rFonts w:cstheme="minorHAnsi"/>
                <w:b/>
                <w:bCs/>
                <w:color w:val="2E74B5" w:themeColor="accent5" w:themeShade="BF"/>
              </w:rPr>
              <w:t xml:space="preserve">rotection and Humanitarian </w:t>
            </w:r>
            <w:r w:rsidR="007B5A4D" w:rsidRPr="00424455">
              <w:rPr>
                <w:rFonts w:cstheme="minorHAnsi"/>
                <w:b/>
                <w:bCs/>
                <w:color w:val="2E74B5" w:themeColor="accent5" w:themeShade="BF"/>
              </w:rPr>
              <w:t>C</w:t>
            </w:r>
            <w:r w:rsidR="005A149F" w:rsidRPr="00424455">
              <w:rPr>
                <w:rFonts w:cstheme="minorHAnsi"/>
                <w:b/>
                <w:bCs/>
                <w:color w:val="2E74B5" w:themeColor="accent5" w:themeShade="BF"/>
              </w:rPr>
              <w:t>ash</w:t>
            </w:r>
            <w:r w:rsidR="007B5A4D" w:rsidRPr="00424455">
              <w:rPr>
                <w:rFonts w:cstheme="minorHAnsi"/>
                <w:b/>
                <w:bCs/>
                <w:color w:val="2E74B5" w:themeColor="accent5" w:themeShade="BF"/>
              </w:rPr>
              <w:t xml:space="preserve"> </w:t>
            </w:r>
            <w:r w:rsidR="00653C7C" w:rsidRPr="00424455">
              <w:rPr>
                <w:rFonts w:cstheme="minorHAnsi"/>
                <w:b/>
                <w:bCs/>
                <w:color w:val="2E74B5" w:themeColor="accent5" w:themeShade="BF"/>
              </w:rPr>
              <w:t>Coordination</w:t>
            </w:r>
            <w:r w:rsidR="005F4C3F" w:rsidRPr="00424455">
              <w:rPr>
                <w:rFonts w:cstheme="minorHAnsi"/>
                <w:b/>
                <w:bCs/>
                <w:color w:val="2E74B5" w:themeColor="accent5" w:themeShade="BF"/>
              </w:rPr>
              <w:t xml:space="preserve"> Linkages</w:t>
            </w:r>
          </w:p>
        </w:tc>
      </w:tr>
      <w:tr w:rsidR="005F4C3F" w:rsidRPr="00EE67E8" w14:paraId="2C97B0CA" w14:textId="77777777" w:rsidTr="00424455">
        <w:trPr>
          <w:trHeight w:val="31"/>
        </w:trPr>
        <w:tc>
          <w:tcPr>
            <w:tcW w:w="7763" w:type="dxa"/>
            <w:tcBorders>
              <w:top w:val="single" w:sz="4" w:space="0" w:color="auto"/>
              <w:bottom w:val="single" w:sz="4" w:space="0" w:color="auto"/>
            </w:tcBorders>
            <w:shd w:val="clear" w:color="auto" w:fill="2E74B5" w:themeFill="accent5" w:themeFillShade="BF"/>
            <w:vAlign w:val="center"/>
          </w:tcPr>
          <w:p w14:paraId="2F2A4069" w14:textId="77777777" w:rsidR="005F4C3F" w:rsidRPr="003312CF" w:rsidRDefault="005F4C3F" w:rsidP="00462D07">
            <w:pPr>
              <w:spacing w:before="60" w:after="60"/>
              <w:rPr>
                <w:rFonts w:cstheme="minorHAnsi"/>
                <w:b/>
                <w:bCs/>
                <w:i/>
                <w:iCs/>
                <w:color w:val="FFFFFF" w:themeColor="background1"/>
              </w:rPr>
            </w:pPr>
            <w:r w:rsidRPr="003312CF">
              <w:rPr>
                <w:rFonts w:cstheme="minorHAnsi"/>
                <w:b/>
                <w:bCs/>
                <w:i/>
                <w:iCs/>
                <w:color w:val="FFFFFF" w:themeColor="background1"/>
              </w:rPr>
              <w:t>Actions</w:t>
            </w:r>
          </w:p>
        </w:tc>
        <w:tc>
          <w:tcPr>
            <w:tcW w:w="1983" w:type="dxa"/>
            <w:tcBorders>
              <w:top w:val="single" w:sz="4" w:space="0" w:color="auto"/>
            </w:tcBorders>
            <w:shd w:val="clear" w:color="auto" w:fill="2E74B5" w:themeFill="accent5" w:themeFillShade="BF"/>
            <w:vAlign w:val="center"/>
          </w:tcPr>
          <w:p w14:paraId="02F5D922" w14:textId="77777777" w:rsidR="005F4C3F" w:rsidRPr="00EE67E8" w:rsidRDefault="005F4C3F" w:rsidP="00462D07">
            <w:pPr>
              <w:spacing w:before="60" w:after="60"/>
              <w:rPr>
                <w:rFonts w:cstheme="minorHAnsi"/>
                <w:b/>
                <w:bCs/>
                <w:color w:val="FFFFFF" w:themeColor="background1"/>
              </w:rPr>
            </w:pPr>
            <w:r w:rsidRPr="00EE67E8">
              <w:rPr>
                <w:rFonts w:cstheme="minorHAnsi"/>
                <w:b/>
                <w:bCs/>
                <w:color w:val="FFFFFF" w:themeColor="background1"/>
              </w:rPr>
              <w:t>Resources</w:t>
            </w:r>
          </w:p>
        </w:tc>
      </w:tr>
      <w:tr w:rsidR="00604E61" w:rsidRPr="00EE67E8" w14:paraId="6E23534C" w14:textId="77777777" w:rsidTr="00EE67E8">
        <w:trPr>
          <w:trHeight w:val="132"/>
        </w:trPr>
        <w:tc>
          <w:tcPr>
            <w:tcW w:w="7763" w:type="dxa"/>
            <w:tcBorders>
              <w:left w:val="dotted" w:sz="4" w:space="0" w:color="auto"/>
              <w:bottom w:val="dotted" w:sz="4" w:space="0" w:color="auto"/>
            </w:tcBorders>
            <w:vAlign w:val="center"/>
          </w:tcPr>
          <w:p w14:paraId="144678FC" w14:textId="0BB30D5A" w:rsidR="00604E61" w:rsidRPr="00EE67E8" w:rsidRDefault="00604E61" w:rsidP="00462D07">
            <w:pPr>
              <w:spacing w:after="60"/>
              <w:rPr>
                <w:rFonts w:cstheme="minorHAnsi"/>
                <w:sz w:val="20"/>
                <w:szCs w:val="20"/>
              </w:rPr>
            </w:pPr>
            <w:r w:rsidRPr="00EE67E8">
              <w:rPr>
                <w:rFonts w:cstheme="minorHAnsi"/>
                <w:sz w:val="20"/>
                <w:szCs w:val="20"/>
              </w:rPr>
              <w:t xml:space="preserve">Find the approach to </w:t>
            </w:r>
            <w:r w:rsidR="006D43C4" w:rsidRPr="00EE67E8">
              <w:rPr>
                <w:rFonts w:cstheme="minorHAnsi"/>
                <w:sz w:val="20"/>
                <w:szCs w:val="20"/>
              </w:rPr>
              <w:t>social protection</w:t>
            </w:r>
            <w:r w:rsidRPr="00EE67E8">
              <w:rPr>
                <w:rFonts w:cstheme="minorHAnsi"/>
                <w:sz w:val="20"/>
                <w:szCs w:val="20"/>
              </w:rPr>
              <w:t xml:space="preserve"> and emergency cash coordination that works best for your context. There are multiple options for creating linkages between coordination mechanisms. Which is most appropriate and effective depends on a variety of factors such as the nature and capacity of existing </w:t>
            </w:r>
            <w:r w:rsidR="006D43C4" w:rsidRPr="00EE67E8">
              <w:rPr>
                <w:rFonts w:cstheme="minorHAnsi"/>
                <w:sz w:val="20"/>
                <w:szCs w:val="20"/>
              </w:rPr>
              <w:t>social protection</w:t>
            </w:r>
            <w:r w:rsidRPr="00EE67E8">
              <w:rPr>
                <w:rFonts w:cstheme="minorHAnsi"/>
                <w:sz w:val="20"/>
                <w:szCs w:val="20"/>
              </w:rPr>
              <w:t xml:space="preserve"> and emergency cash coordination mechanisms, type of crisis (acute, protracted, conflict), relative scale of </w:t>
            </w:r>
            <w:r w:rsidR="006D43C4" w:rsidRPr="00EE67E8">
              <w:rPr>
                <w:rFonts w:cstheme="minorHAnsi"/>
                <w:sz w:val="20"/>
                <w:szCs w:val="20"/>
              </w:rPr>
              <w:t>social protection</w:t>
            </w:r>
            <w:r w:rsidRPr="00EE67E8">
              <w:rPr>
                <w:rFonts w:cstheme="minorHAnsi"/>
                <w:sz w:val="20"/>
                <w:szCs w:val="20"/>
              </w:rPr>
              <w:t xml:space="preserve"> and emergency cash responses, level of donor support to each sector, </w:t>
            </w:r>
            <w:r w:rsidR="00973BCD" w:rsidRPr="00EE67E8">
              <w:rPr>
                <w:rFonts w:cstheme="minorHAnsi"/>
                <w:sz w:val="20"/>
                <w:szCs w:val="20"/>
              </w:rPr>
              <w:t xml:space="preserve">any political sensitivities, </w:t>
            </w:r>
            <w:r w:rsidRPr="00EE67E8">
              <w:rPr>
                <w:rFonts w:cstheme="minorHAnsi"/>
                <w:sz w:val="20"/>
                <w:szCs w:val="20"/>
              </w:rPr>
              <w:t>and the culture of government-NGO collaboration.</w:t>
            </w:r>
          </w:p>
          <w:p w14:paraId="39C9043B" w14:textId="07D747B7" w:rsidR="000162DC" w:rsidRPr="00EE67E8" w:rsidRDefault="000162DC" w:rsidP="00462D07">
            <w:pPr>
              <w:spacing w:after="60"/>
              <w:rPr>
                <w:rFonts w:cstheme="minorHAnsi"/>
                <w:sz w:val="20"/>
                <w:szCs w:val="20"/>
              </w:rPr>
            </w:pPr>
            <w:r w:rsidRPr="00EE67E8">
              <w:rPr>
                <w:rFonts w:cstheme="minorHAnsi"/>
                <w:sz w:val="20"/>
                <w:szCs w:val="20"/>
              </w:rPr>
              <w:t>UNICEF</w:t>
            </w:r>
            <w:r w:rsidR="005A66D6" w:rsidRPr="00EE67E8">
              <w:rPr>
                <w:rFonts w:cstheme="minorHAnsi"/>
                <w:sz w:val="20"/>
                <w:szCs w:val="20"/>
              </w:rPr>
              <w:t>’s experience in both emergencies and social protection policy and systems</w:t>
            </w:r>
            <w:r w:rsidR="00973BCD" w:rsidRPr="00EE67E8">
              <w:rPr>
                <w:rFonts w:cstheme="minorHAnsi"/>
                <w:sz w:val="20"/>
                <w:szCs w:val="20"/>
              </w:rPr>
              <w:t>, and high level of trust with governments,</w:t>
            </w:r>
            <w:r w:rsidR="005A66D6" w:rsidRPr="00EE67E8">
              <w:rPr>
                <w:rFonts w:cstheme="minorHAnsi"/>
                <w:sz w:val="20"/>
                <w:szCs w:val="20"/>
              </w:rPr>
              <w:t xml:space="preserve"> provides a distinct </w:t>
            </w:r>
            <w:r w:rsidRPr="00EE67E8">
              <w:rPr>
                <w:rFonts w:cstheme="minorHAnsi"/>
                <w:sz w:val="20"/>
                <w:szCs w:val="20"/>
              </w:rPr>
              <w:t xml:space="preserve">comparative advantage </w:t>
            </w:r>
            <w:r w:rsidR="005A66D6" w:rsidRPr="00EE67E8">
              <w:rPr>
                <w:rFonts w:cstheme="minorHAnsi"/>
                <w:sz w:val="20"/>
                <w:szCs w:val="20"/>
              </w:rPr>
              <w:t>in convening and facilitating cooperation between actors across the humanitarian-development nexus.</w:t>
            </w:r>
          </w:p>
        </w:tc>
        <w:tc>
          <w:tcPr>
            <w:tcW w:w="1983" w:type="dxa"/>
            <w:vMerge w:val="restart"/>
            <w:vAlign w:val="center"/>
          </w:tcPr>
          <w:p w14:paraId="74624F4C" w14:textId="5295C053" w:rsidR="00604E61" w:rsidRPr="00EE67E8" w:rsidRDefault="002214EC" w:rsidP="00462D07">
            <w:pPr>
              <w:spacing w:after="60"/>
              <w:rPr>
                <w:rFonts w:cstheme="minorHAnsi"/>
                <w:color w:val="FF0000"/>
                <w:sz w:val="20"/>
                <w:szCs w:val="20"/>
                <w:u w:val="single"/>
              </w:rPr>
            </w:pPr>
            <w:hyperlink r:id="rId16" w:history="1">
              <w:r w:rsidR="00604E61" w:rsidRPr="00305361">
                <w:rPr>
                  <w:rStyle w:val="Hyperlink"/>
                  <w:rFonts w:cstheme="minorHAnsi"/>
                  <w:sz w:val="20"/>
                  <w:szCs w:val="20"/>
                </w:rPr>
                <w:t>UNICEF HCT Programmatic Guidance (Chapter 2)</w:t>
              </w:r>
            </w:hyperlink>
          </w:p>
          <w:p w14:paraId="7A89044D" w14:textId="664432DE" w:rsidR="00604E61" w:rsidRPr="00EE67E8" w:rsidRDefault="002214EC" w:rsidP="00462D07">
            <w:pPr>
              <w:spacing w:after="60"/>
              <w:rPr>
                <w:rFonts w:cstheme="minorHAnsi"/>
                <w:sz w:val="20"/>
                <w:szCs w:val="20"/>
                <w:u w:val="single"/>
              </w:rPr>
            </w:pPr>
            <w:hyperlink r:id="rId17" w:history="1">
              <w:r w:rsidR="00604E61" w:rsidRPr="00EE67E8">
                <w:rPr>
                  <w:rStyle w:val="Hyperlink"/>
                  <w:rFonts w:cstheme="minorHAnsi"/>
                  <w:sz w:val="20"/>
                  <w:szCs w:val="20"/>
                </w:rPr>
                <w:t xml:space="preserve">Supporting the Linkages Between Humanitarian Cash and Voucher Assistance and National </w:t>
              </w:r>
              <w:r w:rsidR="0009179A" w:rsidRPr="00EE67E8">
                <w:rPr>
                  <w:rStyle w:val="Hyperlink"/>
                  <w:rFonts w:cstheme="minorHAnsi"/>
                  <w:sz w:val="20"/>
                  <w:szCs w:val="20"/>
                </w:rPr>
                <w:t>SP</w:t>
              </w:r>
              <w:r w:rsidR="00604E61" w:rsidRPr="00EE67E8">
                <w:rPr>
                  <w:rStyle w:val="Hyperlink"/>
                  <w:rFonts w:cstheme="minorHAnsi"/>
                  <w:sz w:val="20"/>
                  <w:szCs w:val="20"/>
                </w:rPr>
                <w:t xml:space="preserve"> Systems (</w:t>
              </w:r>
              <w:proofErr w:type="spellStart"/>
              <w:r w:rsidR="00604E61" w:rsidRPr="00EE67E8">
                <w:rPr>
                  <w:rStyle w:val="Hyperlink"/>
                  <w:rFonts w:cstheme="minorHAnsi"/>
                  <w:sz w:val="20"/>
                  <w:szCs w:val="20"/>
                </w:rPr>
                <w:t>CaLP</w:t>
              </w:r>
              <w:proofErr w:type="spellEnd"/>
              <w:r w:rsidR="00604E61" w:rsidRPr="00EE67E8">
                <w:rPr>
                  <w:rStyle w:val="Hyperlink"/>
                  <w:rFonts w:cstheme="minorHAnsi"/>
                  <w:sz w:val="20"/>
                  <w:szCs w:val="20"/>
                </w:rPr>
                <w:t>)</w:t>
              </w:r>
            </w:hyperlink>
          </w:p>
          <w:p w14:paraId="7576FB2D" w14:textId="2D977891" w:rsidR="00604E61" w:rsidRPr="00EE67E8" w:rsidRDefault="002214EC" w:rsidP="00462D07">
            <w:pPr>
              <w:spacing w:after="60"/>
              <w:rPr>
                <w:rFonts w:cstheme="minorHAnsi"/>
                <w:sz w:val="20"/>
                <w:szCs w:val="20"/>
                <w:u w:val="single"/>
              </w:rPr>
            </w:pPr>
            <w:hyperlink r:id="rId18" w:history="1">
              <w:r w:rsidR="00604E61" w:rsidRPr="00EE67E8">
                <w:rPr>
                  <w:rStyle w:val="Hyperlink"/>
                  <w:rFonts w:cstheme="minorHAnsi"/>
                  <w:sz w:val="20"/>
                  <w:szCs w:val="20"/>
                </w:rPr>
                <w:t>Operational Guidance and Toolkit for Multipurpose Cash Grants (Part 5 Coordination)</w:t>
              </w:r>
            </w:hyperlink>
          </w:p>
          <w:p w14:paraId="6FB42CB0" w14:textId="35B3ABD0" w:rsidR="00604E61" w:rsidRPr="00EE67E8" w:rsidRDefault="00604E61" w:rsidP="00462D07">
            <w:pPr>
              <w:spacing w:after="60"/>
              <w:rPr>
                <w:rFonts w:cstheme="minorHAnsi"/>
                <w:sz w:val="20"/>
                <w:szCs w:val="20"/>
                <w:u w:val="single"/>
              </w:rPr>
            </w:pPr>
          </w:p>
        </w:tc>
      </w:tr>
      <w:tr w:rsidR="00604E61" w:rsidRPr="00EE67E8" w14:paraId="1FBDE6CE" w14:textId="77777777" w:rsidTr="00EE67E8">
        <w:trPr>
          <w:trHeight w:val="454"/>
        </w:trPr>
        <w:tc>
          <w:tcPr>
            <w:tcW w:w="7763" w:type="dxa"/>
            <w:tcBorders>
              <w:top w:val="dotted" w:sz="4" w:space="0" w:color="auto"/>
              <w:left w:val="dotted" w:sz="4" w:space="0" w:color="auto"/>
              <w:bottom w:val="dotted" w:sz="4" w:space="0" w:color="auto"/>
            </w:tcBorders>
            <w:vAlign w:val="center"/>
          </w:tcPr>
          <w:p w14:paraId="4E3EF512" w14:textId="25E296FE" w:rsidR="00604E61" w:rsidRPr="00EE67E8" w:rsidRDefault="00604E61" w:rsidP="00462D07">
            <w:pPr>
              <w:spacing w:after="60"/>
              <w:rPr>
                <w:rFonts w:cstheme="minorHAnsi"/>
                <w:sz w:val="20"/>
                <w:szCs w:val="20"/>
              </w:rPr>
            </w:pPr>
            <w:r w:rsidRPr="00EE67E8">
              <w:rPr>
                <w:rFonts w:cstheme="minorHAnsi"/>
                <w:sz w:val="20"/>
                <w:szCs w:val="20"/>
              </w:rPr>
              <w:t xml:space="preserve">Understand where different types of </w:t>
            </w:r>
            <w:r w:rsidR="006D43C4" w:rsidRPr="00EE67E8">
              <w:rPr>
                <w:rFonts w:cstheme="minorHAnsi"/>
                <w:sz w:val="20"/>
                <w:szCs w:val="20"/>
              </w:rPr>
              <w:t>social protection</w:t>
            </w:r>
            <w:r w:rsidRPr="00EE67E8">
              <w:rPr>
                <w:rFonts w:cstheme="minorHAnsi"/>
                <w:sz w:val="20"/>
                <w:szCs w:val="20"/>
              </w:rPr>
              <w:t xml:space="preserve"> coordination happen and identify the appropriate entry points for linkages, depending on the nature of the coordination objectives:</w:t>
            </w:r>
          </w:p>
          <w:p w14:paraId="6F67B671" w14:textId="671761F1" w:rsidR="00604E61" w:rsidRPr="00EE67E8" w:rsidRDefault="00604E61" w:rsidP="00462D07">
            <w:pPr>
              <w:pStyle w:val="ListParagraph"/>
              <w:numPr>
                <w:ilvl w:val="0"/>
                <w:numId w:val="7"/>
              </w:numPr>
              <w:spacing w:after="60"/>
              <w:ind w:left="284" w:hanging="284"/>
              <w:rPr>
                <w:rFonts w:cstheme="minorHAnsi"/>
                <w:sz w:val="20"/>
                <w:szCs w:val="20"/>
              </w:rPr>
            </w:pPr>
            <w:r w:rsidRPr="00EE67E8">
              <w:rPr>
                <w:rFonts w:cstheme="minorHAnsi"/>
                <w:sz w:val="20"/>
                <w:szCs w:val="20"/>
              </w:rPr>
              <w:t xml:space="preserve">Policy </w:t>
            </w:r>
            <w:r w:rsidR="008B428C" w:rsidRPr="00EE67E8">
              <w:rPr>
                <w:rFonts w:cstheme="minorHAnsi"/>
                <w:sz w:val="20"/>
                <w:szCs w:val="20"/>
              </w:rPr>
              <w:t>and</w:t>
            </w:r>
            <w:r w:rsidRPr="00EE67E8">
              <w:rPr>
                <w:rFonts w:cstheme="minorHAnsi"/>
                <w:sz w:val="20"/>
                <w:szCs w:val="20"/>
              </w:rPr>
              <w:t xml:space="preserve"> strategic coordination</w:t>
            </w:r>
            <w:r w:rsidR="00250F96" w:rsidRPr="00EE67E8">
              <w:rPr>
                <w:rFonts w:cstheme="minorHAnsi"/>
                <w:sz w:val="20"/>
                <w:szCs w:val="20"/>
              </w:rPr>
              <w:t xml:space="preserve">, </w:t>
            </w:r>
            <w:r w:rsidRPr="00EE67E8">
              <w:rPr>
                <w:rFonts w:cstheme="minorHAnsi"/>
                <w:sz w:val="20"/>
                <w:szCs w:val="20"/>
              </w:rPr>
              <w:t>e.g., inter-ministerial steering groups</w:t>
            </w:r>
            <w:r w:rsidR="00250F96" w:rsidRPr="00EE67E8">
              <w:rPr>
                <w:rFonts w:cstheme="minorHAnsi"/>
                <w:sz w:val="20"/>
                <w:szCs w:val="20"/>
              </w:rPr>
              <w:t>.</w:t>
            </w:r>
          </w:p>
          <w:p w14:paraId="73B883F9" w14:textId="7BCFE45F" w:rsidR="00604E61" w:rsidRPr="00EE67E8" w:rsidRDefault="00604E61" w:rsidP="00462D07">
            <w:pPr>
              <w:pStyle w:val="ListParagraph"/>
              <w:numPr>
                <w:ilvl w:val="0"/>
                <w:numId w:val="7"/>
              </w:numPr>
              <w:spacing w:after="60"/>
              <w:ind w:left="284" w:hanging="284"/>
              <w:rPr>
                <w:rFonts w:cstheme="minorHAnsi"/>
                <w:sz w:val="20"/>
                <w:szCs w:val="20"/>
              </w:rPr>
            </w:pPr>
            <w:r w:rsidRPr="00EE67E8">
              <w:rPr>
                <w:rFonts w:cstheme="minorHAnsi"/>
                <w:sz w:val="20"/>
                <w:szCs w:val="20"/>
              </w:rPr>
              <w:t>Vertical coordination between administrative</w:t>
            </w:r>
            <w:r w:rsidR="00250F96" w:rsidRPr="00EE67E8">
              <w:rPr>
                <w:rFonts w:cstheme="minorHAnsi"/>
                <w:sz w:val="20"/>
                <w:szCs w:val="20"/>
              </w:rPr>
              <w:t xml:space="preserve"> or </w:t>
            </w:r>
            <w:r w:rsidRPr="00EE67E8">
              <w:rPr>
                <w:rFonts w:cstheme="minorHAnsi"/>
                <w:sz w:val="20"/>
                <w:szCs w:val="20"/>
              </w:rPr>
              <w:t>organisational layers</w:t>
            </w:r>
            <w:r w:rsidR="00250F96" w:rsidRPr="00EE67E8">
              <w:rPr>
                <w:rFonts w:cstheme="minorHAnsi"/>
                <w:sz w:val="20"/>
                <w:szCs w:val="20"/>
              </w:rPr>
              <w:t>.</w:t>
            </w:r>
          </w:p>
          <w:p w14:paraId="225CCA68" w14:textId="2392E402" w:rsidR="00604E61" w:rsidRPr="00EE67E8" w:rsidRDefault="00604E61" w:rsidP="00462D07">
            <w:pPr>
              <w:pStyle w:val="ListParagraph"/>
              <w:numPr>
                <w:ilvl w:val="0"/>
                <w:numId w:val="7"/>
              </w:numPr>
              <w:spacing w:after="60"/>
              <w:ind w:left="284" w:hanging="284"/>
              <w:rPr>
                <w:rFonts w:cstheme="minorHAnsi"/>
                <w:sz w:val="20"/>
                <w:szCs w:val="20"/>
              </w:rPr>
            </w:pPr>
            <w:r w:rsidRPr="00EE67E8">
              <w:rPr>
                <w:rFonts w:cstheme="minorHAnsi"/>
                <w:sz w:val="20"/>
                <w:szCs w:val="20"/>
              </w:rPr>
              <w:t>Operational coordination between sectoral departments</w:t>
            </w:r>
            <w:r w:rsidR="00250F96" w:rsidRPr="00EE67E8">
              <w:rPr>
                <w:rFonts w:cstheme="minorHAnsi"/>
                <w:sz w:val="20"/>
                <w:szCs w:val="20"/>
              </w:rPr>
              <w:t>.</w:t>
            </w:r>
          </w:p>
          <w:p w14:paraId="6DC44DD2" w14:textId="13C22454" w:rsidR="00604E61" w:rsidRPr="00EE67E8" w:rsidRDefault="00604E61" w:rsidP="00462D07">
            <w:pPr>
              <w:pStyle w:val="ListParagraph"/>
              <w:numPr>
                <w:ilvl w:val="0"/>
                <w:numId w:val="7"/>
              </w:numPr>
              <w:spacing w:after="60"/>
              <w:ind w:left="284" w:hanging="284"/>
              <w:rPr>
                <w:rFonts w:cstheme="minorHAnsi"/>
                <w:sz w:val="20"/>
                <w:szCs w:val="20"/>
              </w:rPr>
            </w:pPr>
            <w:r w:rsidRPr="00EE67E8">
              <w:rPr>
                <w:rFonts w:cstheme="minorHAnsi"/>
                <w:sz w:val="20"/>
                <w:szCs w:val="20"/>
              </w:rPr>
              <w:t>UN</w:t>
            </w:r>
            <w:r w:rsidR="008B428C" w:rsidRPr="00EE67E8">
              <w:rPr>
                <w:rFonts w:cstheme="minorHAnsi"/>
                <w:sz w:val="20"/>
                <w:szCs w:val="20"/>
              </w:rPr>
              <w:t xml:space="preserve">, </w:t>
            </w:r>
            <w:r w:rsidRPr="00EE67E8">
              <w:rPr>
                <w:rFonts w:cstheme="minorHAnsi"/>
                <w:sz w:val="20"/>
                <w:szCs w:val="20"/>
              </w:rPr>
              <w:t>Donor</w:t>
            </w:r>
            <w:r w:rsidR="008B428C" w:rsidRPr="00EE67E8">
              <w:rPr>
                <w:rFonts w:cstheme="minorHAnsi"/>
                <w:sz w:val="20"/>
                <w:szCs w:val="20"/>
              </w:rPr>
              <w:t xml:space="preserve">, and </w:t>
            </w:r>
            <w:r w:rsidRPr="00EE67E8">
              <w:rPr>
                <w:rFonts w:cstheme="minorHAnsi"/>
                <w:sz w:val="20"/>
                <w:szCs w:val="20"/>
              </w:rPr>
              <w:t>IFI coordination groups and NGO social protection platforms</w:t>
            </w:r>
            <w:r w:rsidR="00250F96" w:rsidRPr="00EE67E8">
              <w:rPr>
                <w:rFonts w:cstheme="minorHAnsi"/>
                <w:sz w:val="20"/>
                <w:szCs w:val="20"/>
              </w:rPr>
              <w:t>.</w:t>
            </w:r>
          </w:p>
        </w:tc>
        <w:tc>
          <w:tcPr>
            <w:tcW w:w="1983" w:type="dxa"/>
            <w:vMerge/>
            <w:vAlign w:val="center"/>
          </w:tcPr>
          <w:p w14:paraId="1EEA5B51" w14:textId="4F4A671B" w:rsidR="00604E61" w:rsidRPr="00EE67E8" w:rsidRDefault="00604E61" w:rsidP="00462D07">
            <w:pPr>
              <w:spacing w:after="60"/>
              <w:rPr>
                <w:rFonts w:cstheme="minorHAnsi"/>
                <w:sz w:val="20"/>
                <w:szCs w:val="20"/>
                <w:u w:val="single"/>
              </w:rPr>
            </w:pPr>
          </w:p>
        </w:tc>
      </w:tr>
      <w:tr w:rsidR="00604E61" w:rsidRPr="00EE67E8" w14:paraId="7F8AC002" w14:textId="77777777" w:rsidTr="00EE67E8">
        <w:trPr>
          <w:trHeight w:val="454"/>
        </w:trPr>
        <w:tc>
          <w:tcPr>
            <w:tcW w:w="7763" w:type="dxa"/>
            <w:tcBorders>
              <w:top w:val="dotted" w:sz="4" w:space="0" w:color="auto"/>
              <w:left w:val="dotted" w:sz="4" w:space="0" w:color="auto"/>
              <w:bottom w:val="dotted" w:sz="4" w:space="0" w:color="auto"/>
            </w:tcBorders>
            <w:vAlign w:val="center"/>
          </w:tcPr>
          <w:p w14:paraId="095E60F6" w14:textId="70FBB985" w:rsidR="00604E61" w:rsidRPr="00EE67E8" w:rsidRDefault="00817C55" w:rsidP="00462D07">
            <w:pPr>
              <w:spacing w:after="60"/>
              <w:rPr>
                <w:rFonts w:cstheme="minorHAnsi"/>
                <w:sz w:val="20"/>
                <w:szCs w:val="20"/>
              </w:rPr>
            </w:pPr>
            <w:r w:rsidRPr="00EE67E8">
              <w:rPr>
                <w:rFonts w:cstheme="minorHAnsi"/>
                <w:sz w:val="20"/>
                <w:szCs w:val="20"/>
              </w:rPr>
              <w:t>F</w:t>
            </w:r>
            <w:r w:rsidR="00604E61" w:rsidRPr="00EE67E8">
              <w:rPr>
                <w:rFonts w:cstheme="minorHAnsi"/>
                <w:sz w:val="20"/>
                <w:szCs w:val="20"/>
              </w:rPr>
              <w:t>acilitate coordination between S</w:t>
            </w:r>
            <w:r w:rsidRPr="00EE67E8">
              <w:rPr>
                <w:rFonts w:cstheme="minorHAnsi"/>
                <w:sz w:val="20"/>
                <w:szCs w:val="20"/>
              </w:rPr>
              <w:t xml:space="preserve">ocial </w:t>
            </w:r>
            <w:r w:rsidR="00604E61" w:rsidRPr="00EE67E8">
              <w:rPr>
                <w:rFonts w:cstheme="minorHAnsi"/>
                <w:sz w:val="20"/>
                <w:szCs w:val="20"/>
              </w:rPr>
              <w:t>P</w:t>
            </w:r>
            <w:r w:rsidRPr="00EE67E8">
              <w:rPr>
                <w:rFonts w:cstheme="minorHAnsi"/>
                <w:sz w:val="20"/>
                <w:szCs w:val="20"/>
              </w:rPr>
              <w:t>rotection</w:t>
            </w:r>
            <w:r w:rsidR="00604E61" w:rsidRPr="00EE67E8">
              <w:rPr>
                <w:rFonts w:cstheme="minorHAnsi"/>
                <w:sz w:val="20"/>
                <w:szCs w:val="20"/>
              </w:rPr>
              <w:t xml:space="preserve"> and Disaster Response/Risk Management (DRM) ministries and departments.</w:t>
            </w:r>
            <w:r w:rsidR="000162DC" w:rsidRPr="00EE67E8">
              <w:rPr>
                <w:rFonts w:cstheme="minorHAnsi"/>
                <w:sz w:val="20"/>
                <w:szCs w:val="20"/>
              </w:rPr>
              <w:t xml:space="preserve"> This works most effectively when coordination is formalised in national DRM and social protection strategies. If not already in place, focus on relationship building and creating informal linkages, while working towards more formalised procedures. </w:t>
            </w:r>
          </w:p>
        </w:tc>
        <w:tc>
          <w:tcPr>
            <w:tcW w:w="1983" w:type="dxa"/>
            <w:vMerge/>
            <w:vAlign w:val="center"/>
          </w:tcPr>
          <w:p w14:paraId="04BA70EC" w14:textId="77777777" w:rsidR="00604E61" w:rsidRPr="00EE67E8" w:rsidRDefault="00604E61" w:rsidP="00462D07">
            <w:pPr>
              <w:spacing w:after="60"/>
              <w:rPr>
                <w:rFonts w:cstheme="minorHAnsi"/>
                <w:sz w:val="20"/>
                <w:szCs w:val="20"/>
                <w:u w:val="single"/>
              </w:rPr>
            </w:pPr>
          </w:p>
        </w:tc>
      </w:tr>
      <w:tr w:rsidR="00604E61" w:rsidRPr="00EE67E8" w14:paraId="54E74FB1" w14:textId="77777777" w:rsidTr="00EE67E8">
        <w:trPr>
          <w:trHeight w:val="454"/>
        </w:trPr>
        <w:tc>
          <w:tcPr>
            <w:tcW w:w="7763" w:type="dxa"/>
            <w:tcBorders>
              <w:top w:val="dotted" w:sz="4" w:space="0" w:color="auto"/>
              <w:left w:val="dotted" w:sz="4" w:space="0" w:color="auto"/>
              <w:bottom w:val="dotted" w:sz="4" w:space="0" w:color="auto"/>
            </w:tcBorders>
            <w:vAlign w:val="center"/>
          </w:tcPr>
          <w:p w14:paraId="1A638A9E" w14:textId="77777777" w:rsidR="00250F96" w:rsidRPr="00EE67E8" w:rsidRDefault="00604E61" w:rsidP="00462D07">
            <w:pPr>
              <w:spacing w:after="60"/>
              <w:rPr>
                <w:rFonts w:cstheme="minorHAnsi"/>
                <w:sz w:val="20"/>
                <w:szCs w:val="20"/>
              </w:rPr>
            </w:pPr>
            <w:r w:rsidRPr="00EE67E8">
              <w:rPr>
                <w:rFonts w:cstheme="minorHAnsi"/>
                <w:sz w:val="20"/>
                <w:szCs w:val="20"/>
              </w:rPr>
              <w:t xml:space="preserve">Continuously encourage and facilitate CWG actors to engage with </w:t>
            </w:r>
            <w:r w:rsidR="006D43C4" w:rsidRPr="00EE67E8">
              <w:rPr>
                <w:rFonts w:cstheme="minorHAnsi"/>
                <w:sz w:val="20"/>
                <w:szCs w:val="20"/>
              </w:rPr>
              <w:t>social protection</w:t>
            </w:r>
            <w:r w:rsidRPr="00EE67E8">
              <w:rPr>
                <w:rFonts w:cstheme="minorHAnsi"/>
                <w:sz w:val="20"/>
                <w:szCs w:val="20"/>
              </w:rPr>
              <w:t xml:space="preserve"> actors and in appropriate </w:t>
            </w:r>
            <w:r w:rsidR="006D43C4" w:rsidRPr="00EE67E8">
              <w:rPr>
                <w:rFonts w:cstheme="minorHAnsi"/>
                <w:sz w:val="20"/>
                <w:szCs w:val="20"/>
              </w:rPr>
              <w:t>social protection</w:t>
            </w:r>
            <w:r w:rsidRPr="00EE67E8">
              <w:rPr>
                <w:rFonts w:cstheme="minorHAnsi"/>
                <w:sz w:val="20"/>
                <w:szCs w:val="20"/>
              </w:rPr>
              <w:t xml:space="preserve"> coordination mechanisms. This could involve</w:t>
            </w:r>
            <w:r w:rsidR="00250F96" w:rsidRPr="00EE67E8">
              <w:rPr>
                <w:rFonts w:cstheme="minorHAnsi"/>
                <w:sz w:val="20"/>
                <w:szCs w:val="20"/>
              </w:rPr>
              <w:t>:</w:t>
            </w:r>
            <w:r w:rsidRPr="00EE67E8">
              <w:rPr>
                <w:rFonts w:cstheme="minorHAnsi"/>
                <w:sz w:val="20"/>
                <w:szCs w:val="20"/>
              </w:rPr>
              <w:t xml:space="preserve"> </w:t>
            </w:r>
          </w:p>
          <w:p w14:paraId="0BFBB707" w14:textId="6ABFA782" w:rsidR="00250F96" w:rsidRPr="00EE67E8" w:rsidRDefault="00250F96" w:rsidP="00250F96">
            <w:pPr>
              <w:pStyle w:val="ListParagraph"/>
              <w:numPr>
                <w:ilvl w:val="0"/>
                <w:numId w:val="16"/>
              </w:numPr>
              <w:spacing w:after="60"/>
              <w:ind w:left="284" w:hanging="284"/>
              <w:rPr>
                <w:rFonts w:cstheme="minorHAnsi"/>
                <w:sz w:val="20"/>
                <w:szCs w:val="20"/>
              </w:rPr>
            </w:pPr>
            <w:r w:rsidRPr="00EE67E8">
              <w:rPr>
                <w:rFonts w:cstheme="minorHAnsi"/>
                <w:sz w:val="20"/>
                <w:szCs w:val="20"/>
              </w:rPr>
              <w:t>I</w:t>
            </w:r>
            <w:r w:rsidR="00604E61" w:rsidRPr="00EE67E8">
              <w:rPr>
                <w:rFonts w:cstheme="minorHAnsi"/>
                <w:sz w:val="20"/>
                <w:szCs w:val="20"/>
              </w:rPr>
              <w:t>nformation sharing sessions</w:t>
            </w:r>
            <w:r w:rsidRPr="00EE67E8">
              <w:rPr>
                <w:rFonts w:cstheme="minorHAnsi"/>
                <w:sz w:val="20"/>
                <w:szCs w:val="20"/>
              </w:rPr>
              <w:t>.</w:t>
            </w:r>
          </w:p>
          <w:p w14:paraId="439FE597" w14:textId="35336BB9" w:rsidR="00250F96" w:rsidRPr="00EE67E8" w:rsidRDefault="00250F96" w:rsidP="00250F96">
            <w:pPr>
              <w:pStyle w:val="ListParagraph"/>
              <w:numPr>
                <w:ilvl w:val="0"/>
                <w:numId w:val="16"/>
              </w:numPr>
              <w:spacing w:after="60"/>
              <w:ind w:left="284" w:hanging="284"/>
              <w:rPr>
                <w:rFonts w:cstheme="minorHAnsi"/>
                <w:sz w:val="20"/>
                <w:szCs w:val="20"/>
              </w:rPr>
            </w:pPr>
            <w:r w:rsidRPr="00EE67E8">
              <w:rPr>
                <w:rFonts w:cstheme="minorHAnsi"/>
                <w:sz w:val="20"/>
                <w:szCs w:val="20"/>
              </w:rPr>
              <w:t>R</w:t>
            </w:r>
            <w:r w:rsidR="00604E61" w:rsidRPr="00EE67E8">
              <w:rPr>
                <w:rFonts w:cstheme="minorHAnsi"/>
                <w:sz w:val="20"/>
                <w:szCs w:val="20"/>
              </w:rPr>
              <w:t xml:space="preserve">egular CWG leadership participation in </w:t>
            </w:r>
            <w:r w:rsidR="006D43C4" w:rsidRPr="00EE67E8">
              <w:rPr>
                <w:rFonts w:cstheme="minorHAnsi"/>
                <w:sz w:val="20"/>
                <w:szCs w:val="20"/>
              </w:rPr>
              <w:t>social protection</w:t>
            </w:r>
            <w:r w:rsidR="00604E61" w:rsidRPr="00EE67E8">
              <w:rPr>
                <w:rFonts w:cstheme="minorHAnsi"/>
                <w:sz w:val="20"/>
                <w:szCs w:val="20"/>
              </w:rPr>
              <w:t xml:space="preserve"> </w:t>
            </w:r>
            <w:r w:rsidRPr="00EE67E8">
              <w:rPr>
                <w:rFonts w:cstheme="minorHAnsi"/>
                <w:sz w:val="20"/>
                <w:szCs w:val="20"/>
              </w:rPr>
              <w:t>fora.</w:t>
            </w:r>
          </w:p>
          <w:p w14:paraId="2A21AFF4" w14:textId="3A26152D" w:rsidR="00604E61" w:rsidRPr="00EE67E8" w:rsidRDefault="00250F96" w:rsidP="00250F96">
            <w:pPr>
              <w:pStyle w:val="ListParagraph"/>
              <w:numPr>
                <w:ilvl w:val="0"/>
                <w:numId w:val="16"/>
              </w:numPr>
              <w:spacing w:after="60"/>
              <w:ind w:left="284" w:hanging="284"/>
              <w:rPr>
                <w:rFonts w:cstheme="minorHAnsi"/>
                <w:sz w:val="20"/>
                <w:szCs w:val="20"/>
              </w:rPr>
            </w:pPr>
            <w:r w:rsidRPr="00EE67E8">
              <w:rPr>
                <w:rFonts w:cstheme="minorHAnsi"/>
                <w:sz w:val="20"/>
                <w:szCs w:val="20"/>
              </w:rPr>
              <w:lastRenderedPageBreak/>
              <w:t>B</w:t>
            </w:r>
            <w:r w:rsidR="00604E61" w:rsidRPr="00EE67E8">
              <w:rPr>
                <w:rFonts w:cstheme="minorHAnsi"/>
                <w:sz w:val="20"/>
                <w:szCs w:val="20"/>
              </w:rPr>
              <w:t xml:space="preserve">i-lateral meetings </w:t>
            </w:r>
            <w:r w:rsidRPr="00EE67E8">
              <w:rPr>
                <w:rFonts w:cstheme="minorHAnsi"/>
                <w:sz w:val="20"/>
                <w:szCs w:val="20"/>
              </w:rPr>
              <w:t>with</w:t>
            </w:r>
            <w:r w:rsidR="00604E61" w:rsidRPr="00EE67E8">
              <w:rPr>
                <w:rFonts w:cstheme="minorHAnsi"/>
                <w:sz w:val="20"/>
                <w:szCs w:val="20"/>
              </w:rPr>
              <w:t xml:space="preserve"> government</w:t>
            </w:r>
            <w:r w:rsidRPr="00EE67E8">
              <w:rPr>
                <w:rFonts w:cstheme="minorHAnsi"/>
                <w:sz w:val="20"/>
                <w:szCs w:val="20"/>
              </w:rPr>
              <w:t xml:space="preserve">, </w:t>
            </w:r>
            <w:r w:rsidR="00604E61" w:rsidRPr="00EE67E8">
              <w:rPr>
                <w:rFonts w:cstheme="minorHAnsi"/>
                <w:sz w:val="20"/>
                <w:szCs w:val="20"/>
              </w:rPr>
              <w:t xml:space="preserve">larger agencies or representative bodies </w:t>
            </w:r>
            <w:r w:rsidR="008B428C" w:rsidRPr="00EE67E8">
              <w:rPr>
                <w:rFonts w:cstheme="minorHAnsi"/>
                <w:sz w:val="20"/>
                <w:szCs w:val="20"/>
              </w:rPr>
              <w:t>such as</w:t>
            </w:r>
            <w:r w:rsidR="00604E61" w:rsidRPr="00EE67E8">
              <w:rPr>
                <w:rFonts w:cstheme="minorHAnsi"/>
                <w:sz w:val="20"/>
                <w:szCs w:val="20"/>
              </w:rPr>
              <w:t xml:space="preserve"> CSO coalitions.</w:t>
            </w:r>
          </w:p>
        </w:tc>
        <w:tc>
          <w:tcPr>
            <w:tcW w:w="1983" w:type="dxa"/>
            <w:vMerge/>
            <w:vAlign w:val="center"/>
          </w:tcPr>
          <w:p w14:paraId="6967F9CE" w14:textId="77777777" w:rsidR="00604E61" w:rsidRPr="00EE67E8" w:rsidRDefault="00604E61" w:rsidP="00462D07">
            <w:pPr>
              <w:spacing w:after="60"/>
              <w:rPr>
                <w:rFonts w:cstheme="minorHAnsi"/>
                <w:sz w:val="20"/>
                <w:szCs w:val="20"/>
                <w:u w:val="single"/>
              </w:rPr>
            </w:pPr>
          </w:p>
        </w:tc>
      </w:tr>
      <w:tr w:rsidR="00604E61" w:rsidRPr="00EE67E8" w14:paraId="2FAD0725" w14:textId="77777777" w:rsidTr="00EE67E8">
        <w:trPr>
          <w:trHeight w:val="454"/>
        </w:trPr>
        <w:tc>
          <w:tcPr>
            <w:tcW w:w="7763" w:type="dxa"/>
            <w:tcBorders>
              <w:top w:val="dotted" w:sz="4" w:space="0" w:color="auto"/>
              <w:left w:val="dotted" w:sz="4" w:space="0" w:color="auto"/>
              <w:bottom w:val="dotted" w:sz="4" w:space="0" w:color="auto"/>
            </w:tcBorders>
            <w:vAlign w:val="center"/>
          </w:tcPr>
          <w:p w14:paraId="631A7099" w14:textId="284CAB46" w:rsidR="00604E61" w:rsidRPr="00EE67E8" w:rsidRDefault="00604E61" w:rsidP="00462D07">
            <w:pPr>
              <w:spacing w:after="60"/>
              <w:rPr>
                <w:rFonts w:cstheme="minorHAnsi"/>
                <w:sz w:val="20"/>
                <w:szCs w:val="20"/>
              </w:rPr>
            </w:pPr>
            <w:r w:rsidRPr="00EE67E8">
              <w:rPr>
                <w:rFonts w:cstheme="minorHAnsi"/>
                <w:sz w:val="20"/>
                <w:szCs w:val="20"/>
              </w:rPr>
              <w:t xml:space="preserve">Continuously encourage and facilitate </w:t>
            </w:r>
            <w:r w:rsidR="006D43C4" w:rsidRPr="00EE67E8">
              <w:rPr>
                <w:rFonts w:cstheme="minorHAnsi"/>
                <w:sz w:val="20"/>
                <w:szCs w:val="20"/>
              </w:rPr>
              <w:t>social protection</w:t>
            </w:r>
            <w:r w:rsidRPr="00EE67E8">
              <w:rPr>
                <w:rFonts w:cstheme="minorHAnsi"/>
                <w:sz w:val="20"/>
                <w:szCs w:val="20"/>
              </w:rPr>
              <w:t xml:space="preserve"> actors (especially those involved in the emergency response) to participate in the CWG. Find the right level of engagement</w:t>
            </w:r>
            <w:r w:rsidR="00B96310" w:rsidRPr="00EE67E8">
              <w:rPr>
                <w:rFonts w:cstheme="minorHAnsi"/>
                <w:sz w:val="20"/>
                <w:szCs w:val="20"/>
              </w:rPr>
              <w:t xml:space="preserve"> such as</w:t>
            </w:r>
            <w:r w:rsidRPr="00EE67E8">
              <w:rPr>
                <w:rFonts w:cstheme="minorHAnsi"/>
                <w:sz w:val="20"/>
                <w:szCs w:val="20"/>
              </w:rPr>
              <w:t xml:space="preserve"> joint leadership, active membership, regular information sharing, </w:t>
            </w:r>
            <w:r w:rsidR="00B96310" w:rsidRPr="00EE67E8">
              <w:rPr>
                <w:rFonts w:cstheme="minorHAnsi"/>
                <w:sz w:val="20"/>
                <w:szCs w:val="20"/>
              </w:rPr>
              <w:t xml:space="preserve">or </w:t>
            </w:r>
            <w:r w:rsidRPr="00EE67E8">
              <w:rPr>
                <w:rFonts w:cstheme="minorHAnsi"/>
                <w:sz w:val="20"/>
                <w:szCs w:val="20"/>
              </w:rPr>
              <w:t>ad-hoc participation.</w:t>
            </w:r>
          </w:p>
        </w:tc>
        <w:tc>
          <w:tcPr>
            <w:tcW w:w="1983" w:type="dxa"/>
            <w:vMerge/>
            <w:vAlign w:val="center"/>
          </w:tcPr>
          <w:p w14:paraId="085E95FF" w14:textId="24427273" w:rsidR="00604E61" w:rsidRPr="00EE67E8" w:rsidRDefault="00604E61" w:rsidP="00462D07">
            <w:pPr>
              <w:spacing w:after="60"/>
              <w:rPr>
                <w:rFonts w:cstheme="minorHAnsi"/>
                <w:sz w:val="20"/>
                <w:szCs w:val="20"/>
                <w:u w:val="single"/>
              </w:rPr>
            </w:pPr>
          </w:p>
        </w:tc>
      </w:tr>
      <w:tr w:rsidR="00604E61" w:rsidRPr="00EE67E8" w14:paraId="26AB3B89" w14:textId="77777777" w:rsidTr="00EE67E8">
        <w:trPr>
          <w:trHeight w:val="454"/>
        </w:trPr>
        <w:tc>
          <w:tcPr>
            <w:tcW w:w="7763" w:type="dxa"/>
            <w:tcBorders>
              <w:top w:val="dotted" w:sz="4" w:space="0" w:color="auto"/>
              <w:left w:val="dotted" w:sz="4" w:space="0" w:color="auto"/>
              <w:bottom w:val="dotted" w:sz="4" w:space="0" w:color="auto"/>
            </w:tcBorders>
            <w:vAlign w:val="center"/>
          </w:tcPr>
          <w:p w14:paraId="0EFF00AD" w14:textId="169134FB" w:rsidR="00604E61" w:rsidRPr="00EE67E8" w:rsidRDefault="00604E61" w:rsidP="00462D07">
            <w:pPr>
              <w:spacing w:after="60"/>
              <w:rPr>
                <w:rFonts w:cstheme="minorHAnsi"/>
                <w:sz w:val="20"/>
                <w:szCs w:val="20"/>
              </w:rPr>
            </w:pPr>
            <w:r w:rsidRPr="00EE67E8">
              <w:rPr>
                <w:rFonts w:cstheme="minorHAnsi"/>
                <w:sz w:val="20"/>
                <w:szCs w:val="20"/>
              </w:rPr>
              <w:t xml:space="preserve">Ensure that </w:t>
            </w:r>
            <w:r w:rsidR="006D43C4" w:rsidRPr="00EE67E8">
              <w:rPr>
                <w:rFonts w:cstheme="minorHAnsi"/>
                <w:sz w:val="20"/>
                <w:szCs w:val="20"/>
              </w:rPr>
              <w:t>social protection response</w:t>
            </w:r>
            <w:r w:rsidRPr="00EE67E8">
              <w:rPr>
                <w:rFonts w:cstheme="minorHAnsi"/>
                <w:sz w:val="20"/>
                <w:szCs w:val="20"/>
              </w:rPr>
              <w:t xml:space="preserve"> remains on the CWG agenda and that </w:t>
            </w:r>
            <w:r w:rsidR="006D43C4" w:rsidRPr="00EE67E8">
              <w:rPr>
                <w:rFonts w:cstheme="minorHAnsi"/>
                <w:sz w:val="20"/>
                <w:szCs w:val="20"/>
              </w:rPr>
              <w:t>social protection</w:t>
            </w:r>
            <w:r w:rsidRPr="00EE67E8">
              <w:rPr>
                <w:rFonts w:cstheme="minorHAnsi"/>
                <w:sz w:val="20"/>
                <w:szCs w:val="20"/>
              </w:rPr>
              <w:t xml:space="preserve"> actors are informed of relevant agenda items in advance. </w:t>
            </w:r>
          </w:p>
          <w:p w14:paraId="3E46343F" w14:textId="717AD8E8" w:rsidR="00604E61" w:rsidRPr="00EE67E8" w:rsidRDefault="00604E61" w:rsidP="00604E61">
            <w:pPr>
              <w:pStyle w:val="ListParagraph"/>
              <w:numPr>
                <w:ilvl w:val="0"/>
                <w:numId w:val="11"/>
              </w:numPr>
              <w:spacing w:after="60"/>
              <w:ind w:left="284" w:hanging="284"/>
              <w:rPr>
                <w:rFonts w:cstheme="minorHAnsi"/>
                <w:sz w:val="20"/>
                <w:szCs w:val="20"/>
              </w:rPr>
            </w:pPr>
            <w:r w:rsidRPr="00EE67E8">
              <w:rPr>
                <w:rFonts w:cstheme="minorHAnsi"/>
                <w:sz w:val="20"/>
                <w:szCs w:val="20"/>
              </w:rPr>
              <w:t xml:space="preserve">CWG TORs, tools and templates should reflect </w:t>
            </w:r>
            <w:r w:rsidR="006D43C4" w:rsidRPr="00EE67E8">
              <w:rPr>
                <w:rFonts w:cstheme="minorHAnsi"/>
                <w:sz w:val="20"/>
                <w:szCs w:val="20"/>
              </w:rPr>
              <w:t>emergency social protection</w:t>
            </w:r>
            <w:r w:rsidRPr="00EE67E8">
              <w:rPr>
                <w:rFonts w:cstheme="minorHAnsi"/>
                <w:sz w:val="20"/>
                <w:szCs w:val="20"/>
              </w:rPr>
              <w:t xml:space="preserve"> responses. </w:t>
            </w:r>
          </w:p>
          <w:p w14:paraId="6D989034" w14:textId="3BA3443D" w:rsidR="00604E61" w:rsidRPr="00EE67E8" w:rsidRDefault="006B1568" w:rsidP="00604E61">
            <w:pPr>
              <w:pStyle w:val="ListParagraph"/>
              <w:numPr>
                <w:ilvl w:val="0"/>
                <w:numId w:val="11"/>
              </w:numPr>
              <w:spacing w:after="60"/>
              <w:ind w:left="284" w:hanging="284"/>
              <w:rPr>
                <w:rFonts w:cstheme="minorHAnsi"/>
                <w:sz w:val="20"/>
                <w:szCs w:val="20"/>
              </w:rPr>
            </w:pPr>
            <w:r w:rsidRPr="00EE67E8">
              <w:rPr>
                <w:rFonts w:cstheme="minorHAnsi"/>
                <w:sz w:val="20"/>
                <w:szCs w:val="20"/>
              </w:rPr>
              <w:t>C</w:t>
            </w:r>
            <w:r w:rsidR="00604E61" w:rsidRPr="00EE67E8">
              <w:rPr>
                <w:rFonts w:cstheme="minorHAnsi"/>
                <w:sz w:val="20"/>
                <w:szCs w:val="20"/>
              </w:rPr>
              <w:t>reat</w:t>
            </w:r>
            <w:r w:rsidRPr="00EE67E8">
              <w:rPr>
                <w:rFonts w:cstheme="minorHAnsi"/>
                <w:sz w:val="20"/>
                <w:szCs w:val="20"/>
              </w:rPr>
              <w:t>e</w:t>
            </w:r>
            <w:r w:rsidR="00604E61" w:rsidRPr="00EE67E8">
              <w:rPr>
                <w:rFonts w:cstheme="minorHAnsi"/>
                <w:sz w:val="20"/>
                <w:szCs w:val="20"/>
              </w:rPr>
              <w:t xml:space="preserve"> an SRSP thematic/working group </w:t>
            </w:r>
            <w:r w:rsidRPr="00EE67E8">
              <w:rPr>
                <w:rFonts w:cstheme="minorHAnsi"/>
                <w:sz w:val="20"/>
                <w:szCs w:val="20"/>
              </w:rPr>
              <w:t>under</w:t>
            </w:r>
            <w:r w:rsidR="00604E61" w:rsidRPr="00EE67E8">
              <w:rPr>
                <w:rFonts w:cstheme="minorHAnsi"/>
                <w:sz w:val="20"/>
                <w:szCs w:val="20"/>
              </w:rPr>
              <w:t xml:space="preserve"> the CWG focusing on linkages between emergency cash and </w:t>
            </w:r>
            <w:r w:rsidRPr="00EE67E8">
              <w:rPr>
                <w:rFonts w:cstheme="minorHAnsi"/>
                <w:sz w:val="20"/>
                <w:szCs w:val="20"/>
              </w:rPr>
              <w:t>social protection</w:t>
            </w:r>
            <w:r w:rsidR="00604E61" w:rsidRPr="00EE67E8">
              <w:rPr>
                <w:rFonts w:cstheme="minorHAnsi"/>
                <w:sz w:val="20"/>
                <w:szCs w:val="20"/>
              </w:rPr>
              <w:t>.</w:t>
            </w:r>
          </w:p>
        </w:tc>
        <w:tc>
          <w:tcPr>
            <w:tcW w:w="1983" w:type="dxa"/>
            <w:vMerge/>
            <w:vAlign w:val="center"/>
          </w:tcPr>
          <w:p w14:paraId="10E119E6" w14:textId="1579B617" w:rsidR="00604E61" w:rsidRPr="00EE67E8" w:rsidRDefault="00604E61" w:rsidP="00462D07">
            <w:pPr>
              <w:spacing w:after="60"/>
              <w:rPr>
                <w:rFonts w:cstheme="minorHAnsi"/>
                <w:sz w:val="20"/>
                <w:szCs w:val="20"/>
                <w:u w:val="single"/>
              </w:rPr>
            </w:pPr>
          </w:p>
        </w:tc>
      </w:tr>
      <w:tr w:rsidR="00604E61" w:rsidRPr="00EE67E8" w14:paraId="49734D26" w14:textId="77777777" w:rsidTr="00EE67E8">
        <w:trPr>
          <w:trHeight w:val="454"/>
        </w:trPr>
        <w:tc>
          <w:tcPr>
            <w:tcW w:w="7763" w:type="dxa"/>
            <w:tcBorders>
              <w:top w:val="dotted" w:sz="4" w:space="0" w:color="auto"/>
              <w:left w:val="dotted" w:sz="4" w:space="0" w:color="auto"/>
              <w:bottom w:val="dotted" w:sz="4" w:space="0" w:color="auto"/>
            </w:tcBorders>
            <w:vAlign w:val="center"/>
          </w:tcPr>
          <w:p w14:paraId="23155A3E" w14:textId="2FCEDC7F" w:rsidR="00C31C98" w:rsidRPr="00EE67E8" w:rsidRDefault="00604E61" w:rsidP="00462D07">
            <w:pPr>
              <w:spacing w:after="60"/>
              <w:rPr>
                <w:rFonts w:cstheme="minorHAnsi"/>
                <w:sz w:val="20"/>
                <w:szCs w:val="20"/>
              </w:rPr>
            </w:pPr>
            <w:r w:rsidRPr="00EE67E8">
              <w:rPr>
                <w:rFonts w:cstheme="minorHAnsi"/>
                <w:sz w:val="20"/>
                <w:szCs w:val="20"/>
              </w:rPr>
              <w:t xml:space="preserve">Understand where sector specific cash transfers are discussed in other Clusters </w:t>
            </w:r>
            <w:r w:rsidR="00C31C98" w:rsidRPr="00EE67E8">
              <w:rPr>
                <w:rFonts w:cstheme="minorHAnsi"/>
                <w:sz w:val="20"/>
                <w:szCs w:val="20"/>
              </w:rPr>
              <w:t xml:space="preserve">including </w:t>
            </w:r>
            <w:r w:rsidRPr="00EE67E8">
              <w:rPr>
                <w:rFonts w:cstheme="minorHAnsi"/>
                <w:sz w:val="20"/>
                <w:szCs w:val="20"/>
              </w:rPr>
              <w:t>WASH, nutrition, education, child protection</w:t>
            </w:r>
            <w:r w:rsidR="006D43C4" w:rsidRPr="00EE67E8">
              <w:rPr>
                <w:rFonts w:cstheme="minorHAnsi"/>
                <w:sz w:val="20"/>
                <w:szCs w:val="20"/>
              </w:rPr>
              <w:t xml:space="preserve">, </w:t>
            </w:r>
            <w:r w:rsidR="00C31C98" w:rsidRPr="00EE67E8">
              <w:rPr>
                <w:rFonts w:cstheme="minorHAnsi"/>
                <w:sz w:val="20"/>
                <w:szCs w:val="20"/>
              </w:rPr>
              <w:t xml:space="preserve">and </w:t>
            </w:r>
            <w:r w:rsidR="006D43C4" w:rsidRPr="00EE67E8">
              <w:rPr>
                <w:rFonts w:cstheme="minorHAnsi"/>
                <w:sz w:val="20"/>
                <w:szCs w:val="20"/>
              </w:rPr>
              <w:t xml:space="preserve">health. </w:t>
            </w:r>
          </w:p>
          <w:p w14:paraId="702C2835" w14:textId="5E3360F9" w:rsidR="00C31C98" w:rsidRPr="00EE67E8" w:rsidRDefault="006D43C4" w:rsidP="00C31C98">
            <w:pPr>
              <w:pStyle w:val="ListParagraph"/>
              <w:numPr>
                <w:ilvl w:val="0"/>
                <w:numId w:val="17"/>
              </w:numPr>
              <w:spacing w:after="60"/>
              <w:ind w:left="284" w:hanging="284"/>
              <w:rPr>
                <w:rFonts w:cstheme="minorHAnsi"/>
                <w:sz w:val="20"/>
                <w:szCs w:val="20"/>
              </w:rPr>
            </w:pPr>
            <w:r w:rsidRPr="00EE67E8">
              <w:rPr>
                <w:rFonts w:cstheme="minorHAnsi"/>
                <w:sz w:val="20"/>
                <w:szCs w:val="20"/>
              </w:rPr>
              <w:t>E</w:t>
            </w:r>
            <w:r w:rsidR="00604E61" w:rsidRPr="00EE67E8">
              <w:rPr>
                <w:rFonts w:cstheme="minorHAnsi"/>
                <w:sz w:val="20"/>
                <w:szCs w:val="20"/>
              </w:rPr>
              <w:t>ngage</w:t>
            </w:r>
            <w:r w:rsidR="00C31C98" w:rsidRPr="00EE67E8">
              <w:rPr>
                <w:rFonts w:cstheme="minorHAnsi"/>
                <w:sz w:val="20"/>
                <w:szCs w:val="20"/>
              </w:rPr>
              <w:t xml:space="preserve"> with</w:t>
            </w:r>
            <w:r w:rsidR="00604E61" w:rsidRPr="00EE67E8">
              <w:rPr>
                <w:rFonts w:cstheme="minorHAnsi"/>
                <w:sz w:val="20"/>
                <w:szCs w:val="20"/>
              </w:rPr>
              <w:t xml:space="preserve"> and support </w:t>
            </w:r>
            <w:r w:rsidR="00C31C98" w:rsidRPr="00EE67E8">
              <w:rPr>
                <w:rFonts w:cstheme="minorHAnsi"/>
                <w:sz w:val="20"/>
                <w:szCs w:val="20"/>
              </w:rPr>
              <w:t xml:space="preserve">sectoral cash programmes </w:t>
            </w:r>
            <w:r w:rsidR="008B428C" w:rsidRPr="00EE67E8">
              <w:rPr>
                <w:rFonts w:cstheme="minorHAnsi"/>
                <w:sz w:val="20"/>
                <w:szCs w:val="20"/>
              </w:rPr>
              <w:t xml:space="preserve">jointly with UNICEF emergency and sector colleagues, </w:t>
            </w:r>
            <w:r w:rsidR="00604E61" w:rsidRPr="00EE67E8">
              <w:rPr>
                <w:rFonts w:cstheme="minorHAnsi"/>
                <w:sz w:val="20"/>
                <w:szCs w:val="20"/>
              </w:rPr>
              <w:t>as required</w:t>
            </w:r>
            <w:r w:rsidR="00C31C98" w:rsidRPr="00EE67E8">
              <w:rPr>
                <w:rFonts w:cstheme="minorHAnsi"/>
                <w:sz w:val="20"/>
                <w:szCs w:val="20"/>
              </w:rPr>
              <w:t>.</w:t>
            </w:r>
          </w:p>
          <w:p w14:paraId="551D1A37" w14:textId="767E59BF" w:rsidR="00604E61" w:rsidRPr="00EE67E8" w:rsidRDefault="00C31C98" w:rsidP="00C31C98">
            <w:pPr>
              <w:pStyle w:val="ListParagraph"/>
              <w:numPr>
                <w:ilvl w:val="0"/>
                <w:numId w:val="17"/>
              </w:numPr>
              <w:spacing w:after="60"/>
              <w:ind w:left="284" w:hanging="284"/>
              <w:rPr>
                <w:rFonts w:cstheme="minorHAnsi"/>
                <w:sz w:val="20"/>
                <w:szCs w:val="20"/>
              </w:rPr>
            </w:pPr>
            <w:r w:rsidRPr="00EE67E8">
              <w:rPr>
                <w:rFonts w:cstheme="minorHAnsi"/>
                <w:sz w:val="20"/>
                <w:szCs w:val="20"/>
              </w:rPr>
              <w:t>E</w:t>
            </w:r>
            <w:r w:rsidR="006D43C4" w:rsidRPr="00EE67E8">
              <w:rPr>
                <w:rFonts w:cstheme="minorHAnsi"/>
                <w:sz w:val="20"/>
                <w:szCs w:val="20"/>
              </w:rPr>
              <w:t>nsure there is a mechanism to inform the CWG of all sector cash and voucher responses</w:t>
            </w:r>
            <w:r w:rsidR="00604E61" w:rsidRPr="00EE67E8">
              <w:rPr>
                <w:rFonts w:cstheme="minorHAnsi"/>
                <w:sz w:val="20"/>
                <w:szCs w:val="20"/>
              </w:rPr>
              <w:t xml:space="preserve">. </w:t>
            </w:r>
          </w:p>
        </w:tc>
        <w:tc>
          <w:tcPr>
            <w:tcW w:w="1983" w:type="dxa"/>
            <w:vMerge/>
            <w:vAlign w:val="center"/>
          </w:tcPr>
          <w:p w14:paraId="58838ADE" w14:textId="168ECD82" w:rsidR="00604E61" w:rsidRPr="00EE67E8" w:rsidRDefault="00604E61" w:rsidP="00462D07">
            <w:pPr>
              <w:spacing w:after="60"/>
              <w:rPr>
                <w:rFonts w:cstheme="minorHAnsi"/>
                <w:sz w:val="20"/>
                <w:szCs w:val="20"/>
                <w:u w:val="single"/>
              </w:rPr>
            </w:pPr>
          </w:p>
        </w:tc>
      </w:tr>
      <w:tr w:rsidR="00C31C98" w:rsidRPr="00EE67E8" w14:paraId="21211245" w14:textId="77777777" w:rsidTr="00EE67E8">
        <w:trPr>
          <w:trHeight w:val="454"/>
        </w:trPr>
        <w:tc>
          <w:tcPr>
            <w:tcW w:w="7763" w:type="dxa"/>
            <w:tcBorders>
              <w:top w:val="dotted" w:sz="4" w:space="0" w:color="auto"/>
              <w:left w:val="dotted" w:sz="4" w:space="0" w:color="auto"/>
              <w:bottom w:val="dotted" w:sz="4" w:space="0" w:color="auto"/>
            </w:tcBorders>
            <w:vAlign w:val="center"/>
          </w:tcPr>
          <w:p w14:paraId="11CA23B2" w14:textId="1D071737" w:rsidR="00C31C98" w:rsidRPr="00EE67E8" w:rsidRDefault="00C31C98" w:rsidP="00462D07">
            <w:pPr>
              <w:spacing w:after="60"/>
              <w:rPr>
                <w:rFonts w:cstheme="minorHAnsi"/>
                <w:sz w:val="20"/>
                <w:szCs w:val="20"/>
              </w:rPr>
            </w:pPr>
            <w:r w:rsidRPr="00EE67E8">
              <w:rPr>
                <w:rFonts w:cstheme="minorHAnsi"/>
                <w:sz w:val="20"/>
                <w:szCs w:val="20"/>
              </w:rPr>
              <w:t xml:space="preserve">Where feasible and appropriate, </w:t>
            </w:r>
            <w:r w:rsidR="00C4450C">
              <w:rPr>
                <w:rFonts w:cstheme="minorHAnsi"/>
                <w:sz w:val="20"/>
                <w:szCs w:val="20"/>
              </w:rPr>
              <w:t xml:space="preserve">influence the creation of a common coordination mechanism for </w:t>
            </w:r>
            <w:r w:rsidRPr="00EE67E8">
              <w:rPr>
                <w:rFonts w:cstheme="minorHAnsi"/>
                <w:sz w:val="20"/>
                <w:szCs w:val="20"/>
              </w:rPr>
              <w:t>S</w:t>
            </w:r>
            <w:r w:rsidR="008B428C" w:rsidRPr="00EE67E8">
              <w:rPr>
                <w:rFonts w:cstheme="minorHAnsi"/>
                <w:sz w:val="20"/>
                <w:szCs w:val="20"/>
              </w:rPr>
              <w:t xml:space="preserve">ocial </w:t>
            </w:r>
            <w:r w:rsidRPr="00EE67E8">
              <w:rPr>
                <w:rFonts w:cstheme="minorHAnsi"/>
                <w:sz w:val="20"/>
                <w:szCs w:val="20"/>
              </w:rPr>
              <w:t>P</w:t>
            </w:r>
            <w:r w:rsidR="008B428C" w:rsidRPr="00EE67E8">
              <w:rPr>
                <w:rFonts w:cstheme="minorHAnsi"/>
                <w:sz w:val="20"/>
                <w:szCs w:val="20"/>
              </w:rPr>
              <w:t xml:space="preserve">rotection and </w:t>
            </w:r>
            <w:r w:rsidR="00C4450C">
              <w:rPr>
                <w:rFonts w:cstheme="minorHAnsi"/>
                <w:sz w:val="20"/>
                <w:szCs w:val="20"/>
              </w:rPr>
              <w:t>emergency cash transfers</w:t>
            </w:r>
            <w:r w:rsidRPr="00EE67E8">
              <w:rPr>
                <w:rFonts w:cstheme="minorHAnsi"/>
                <w:sz w:val="20"/>
                <w:szCs w:val="20"/>
              </w:rPr>
              <w:t>.</w:t>
            </w:r>
          </w:p>
        </w:tc>
        <w:tc>
          <w:tcPr>
            <w:tcW w:w="1983" w:type="dxa"/>
            <w:vMerge/>
            <w:vAlign w:val="center"/>
          </w:tcPr>
          <w:p w14:paraId="12C816D8" w14:textId="77777777" w:rsidR="00C31C98" w:rsidRPr="00EE67E8" w:rsidRDefault="00C31C98" w:rsidP="00462D07">
            <w:pPr>
              <w:spacing w:after="60"/>
              <w:rPr>
                <w:rFonts w:cstheme="minorHAnsi"/>
                <w:sz w:val="20"/>
                <w:szCs w:val="20"/>
                <w:u w:val="single"/>
              </w:rPr>
            </w:pPr>
          </w:p>
        </w:tc>
      </w:tr>
      <w:tr w:rsidR="00604E61" w:rsidRPr="00EE67E8" w14:paraId="1ABC789D" w14:textId="77777777" w:rsidTr="00EE67E8">
        <w:trPr>
          <w:trHeight w:val="454"/>
        </w:trPr>
        <w:tc>
          <w:tcPr>
            <w:tcW w:w="7763" w:type="dxa"/>
            <w:tcBorders>
              <w:top w:val="dotted" w:sz="4" w:space="0" w:color="auto"/>
              <w:left w:val="dotted" w:sz="4" w:space="0" w:color="auto"/>
              <w:bottom w:val="dotted" w:sz="4" w:space="0" w:color="auto"/>
            </w:tcBorders>
            <w:vAlign w:val="center"/>
          </w:tcPr>
          <w:p w14:paraId="3878FD26" w14:textId="095E8BAF" w:rsidR="00604E61" w:rsidRPr="00EE67E8" w:rsidRDefault="00C11BEE" w:rsidP="00462D07">
            <w:pPr>
              <w:spacing w:after="60"/>
              <w:rPr>
                <w:rFonts w:cstheme="minorHAnsi"/>
                <w:sz w:val="20"/>
                <w:szCs w:val="20"/>
              </w:rPr>
            </w:pPr>
            <w:r>
              <w:rPr>
                <w:rFonts w:cstheme="minorHAnsi"/>
                <w:sz w:val="20"/>
                <w:szCs w:val="20"/>
              </w:rPr>
              <w:t xml:space="preserve">There is a need for the </w:t>
            </w:r>
            <w:r w:rsidR="00604E61" w:rsidRPr="00EE67E8">
              <w:rPr>
                <w:rFonts w:cstheme="minorHAnsi"/>
                <w:sz w:val="20"/>
                <w:szCs w:val="20"/>
              </w:rPr>
              <w:t xml:space="preserve">CWG </w:t>
            </w:r>
            <w:r w:rsidR="00EB6594">
              <w:rPr>
                <w:rFonts w:cstheme="minorHAnsi"/>
                <w:sz w:val="20"/>
                <w:szCs w:val="20"/>
              </w:rPr>
              <w:t xml:space="preserve">to </w:t>
            </w:r>
            <w:r>
              <w:rPr>
                <w:rFonts w:cstheme="minorHAnsi"/>
                <w:sz w:val="20"/>
                <w:szCs w:val="20"/>
              </w:rPr>
              <w:t xml:space="preserve">be represented at </w:t>
            </w:r>
            <w:r w:rsidR="00604E61" w:rsidRPr="00EE67E8">
              <w:rPr>
                <w:rFonts w:cstheme="minorHAnsi"/>
                <w:sz w:val="20"/>
                <w:szCs w:val="20"/>
              </w:rPr>
              <w:t xml:space="preserve">the Inter Cluster Coordination Group (ICCG) </w:t>
            </w:r>
            <w:r w:rsidR="00C046A5">
              <w:rPr>
                <w:rFonts w:cstheme="minorHAnsi"/>
                <w:sz w:val="20"/>
                <w:szCs w:val="20"/>
              </w:rPr>
              <w:t xml:space="preserve">(or equivalent body) </w:t>
            </w:r>
            <w:r w:rsidR="00604E61" w:rsidRPr="00EE67E8">
              <w:rPr>
                <w:rFonts w:cstheme="minorHAnsi"/>
                <w:sz w:val="20"/>
                <w:szCs w:val="20"/>
              </w:rPr>
              <w:t xml:space="preserve">to facilitate higher-level engagement within the humanitarian system and with government counterparts including in </w:t>
            </w:r>
            <w:r w:rsidR="00003E6F" w:rsidRPr="00EE67E8">
              <w:rPr>
                <w:rFonts w:cstheme="minorHAnsi"/>
                <w:sz w:val="20"/>
                <w:szCs w:val="20"/>
              </w:rPr>
              <w:t>social protection</w:t>
            </w:r>
            <w:r w:rsidR="00604E61" w:rsidRPr="00EE67E8">
              <w:rPr>
                <w:rFonts w:cstheme="minorHAnsi"/>
                <w:sz w:val="20"/>
                <w:szCs w:val="20"/>
              </w:rPr>
              <w:t>. Where</w:t>
            </w:r>
            <w:r>
              <w:rPr>
                <w:rFonts w:cstheme="minorHAnsi"/>
                <w:sz w:val="20"/>
                <w:szCs w:val="20"/>
              </w:rPr>
              <w:t xml:space="preserve"> </w:t>
            </w:r>
            <w:r w:rsidR="008652A4">
              <w:rPr>
                <w:rFonts w:cstheme="minorHAnsi"/>
                <w:sz w:val="20"/>
                <w:szCs w:val="20"/>
              </w:rPr>
              <w:t>required</w:t>
            </w:r>
            <w:r w:rsidR="00604E61" w:rsidRPr="00EE67E8">
              <w:rPr>
                <w:rFonts w:cstheme="minorHAnsi"/>
                <w:sz w:val="20"/>
                <w:szCs w:val="20"/>
              </w:rPr>
              <w:t>,</w:t>
            </w:r>
            <w:r>
              <w:rPr>
                <w:rFonts w:cstheme="minorHAnsi"/>
                <w:sz w:val="20"/>
                <w:szCs w:val="20"/>
              </w:rPr>
              <w:t xml:space="preserve"> UNICEF is expected to</w:t>
            </w:r>
            <w:r w:rsidR="00604E61" w:rsidRPr="00EE67E8">
              <w:rPr>
                <w:rFonts w:cstheme="minorHAnsi"/>
                <w:sz w:val="20"/>
                <w:szCs w:val="20"/>
              </w:rPr>
              <w:t xml:space="preserve"> engage</w:t>
            </w:r>
            <w:r>
              <w:rPr>
                <w:rFonts w:cstheme="minorHAnsi"/>
                <w:sz w:val="20"/>
                <w:szCs w:val="20"/>
              </w:rPr>
              <w:t xml:space="preserve"> with the CWG to </w:t>
            </w:r>
            <w:r w:rsidR="00604E61" w:rsidRPr="00EE67E8">
              <w:rPr>
                <w:rFonts w:cstheme="minorHAnsi"/>
                <w:sz w:val="20"/>
                <w:szCs w:val="20"/>
              </w:rPr>
              <w:t xml:space="preserve">resolve political or practical challenges to creating effective linkages and coordination between </w:t>
            </w:r>
            <w:r w:rsidR="00003E6F" w:rsidRPr="00EE67E8">
              <w:rPr>
                <w:rFonts w:cstheme="minorHAnsi"/>
                <w:sz w:val="20"/>
                <w:szCs w:val="20"/>
              </w:rPr>
              <w:t>social protection</w:t>
            </w:r>
            <w:r w:rsidR="00604E61" w:rsidRPr="00EE67E8">
              <w:rPr>
                <w:rFonts w:cstheme="minorHAnsi"/>
                <w:sz w:val="20"/>
                <w:szCs w:val="20"/>
              </w:rPr>
              <w:t xml:space="preserve"> and emergency cash coordination systems.</w:t>
            </w:r>
          </w:p>
        </w:tc>
        <w:tc>
          <w:tcPr>
            <w:tcW w:w="1983" w:type="dxa"/>
            <w:vMerge/>
            <w:vAlign w:val="center"/>
          </w:tcPr>
          <w:p w14:paraId="14945CE5" w14:textId="14D4546A" w:rsidR="00604E61" w:rsidRPr="00EE67E8" w:rsidRDefault="00604E61" w:rsidP="00462D07">
            <w:pPr>
              <w:spacing w:after="60"/>
              <w:rPr>
                <w:rFonts w:cstheme="minorHAnsi"/>
                <w:sz w:val="20"/>
                <w:szCs w:val="20"/>
                <w:u w:val="single"/>
              </w:rPr>
            </w:pPr>
          </w:p>
        </w:tc>
      </w:tr>
      <w:tr w:rsidR="00604E61" w:rsidRPr="00EE67E8" w14:paraId="0A875A19" w14:textId="77777777" w:rsidTr="00EE67E8">
        <w:trPr>
          <w:trHeight w:val="454"/>
        </w:trPr>
        <w:tc>
          <w:tcPr>
            <w:tcW w:w="7763" w:type="dxa"/>
            <w:tcBorders>
              <w:top w:val="dotted" w:sz="4" w:space="0" w:color="auto"/>
              <w:left w:val="dotted" w:sz="4" w:space="0" w:color="auto"/>
              <w:bottom w:val="dotted" w:sz="4" w:space="0" w:color="auto"/>
            </w:tcBorders>
            <w:vAlign w:val="center"/>
          </w:tcPr>
          <w:p w14:paraId="61FE7B74" w14:textId="1DC65DBE" w:rsidR="00604E61" w:rsidRPr="00EE67E8" w:rsidRDefault="00604E61" w:rsidP="00462D07">
            <w:pPr>
              <w:spacing w:after="60"/>
              <w:rPr>
                <w:rFonts w:cstheme="minorHAnsi"/>
                <w:sz w:val="20"/>
                <w:szCs w:val="20"/>
              </w:rPr>
            </w:pPr>
            <w:r w:rsidRPr="00EE67E8">
              <w:rPr>
                <w:rFonts w:cstheme="minorHAnsi"/>
                <w:sz w:val="20"/>
                <w:szCs w:val="20"/>
              </w:rPr>
              <w:t xml:space="preserve">Engage donors to help facilitate linkages between </w:t>
            </w:r>
            <w:r w:rsidR="00003E6F" w:rsidRPr="00EE67E8">
              <w:rPr>
                <w:rFonts w:cstheme="minorHAnsi"/>
                <w:sz w:val="20"/>
                <w:szCs w:val="20"/>
              </w:rPr>
              <w:t>social protection</w:t>
            </w:r>
            <w:r w:rsidRPr="00EE67E8">
              <w:rPr>
                <w:rFonts w:cstheme="minorHAnsi"/>
                <w:sz w:val="20"/>
                <w:szCs w:val="20"/>
              </w:rPr>
              <w:t xml:space="preserve"> and emergency cash actors, especially those that fund both sectors.</w:t>
            </w:r>
          </w:p>
        </w:tc>
        <w:tc>
          <w:tcPr>
            <w:tcW w:w="1983" w:type="dxa"/>
            <w:vMerge/>
            <w:vAlign w:val="center"/>
          </w:tcPr>
          <w:p w14:paraId="7AD2F82A" w14:textId="0B30C430" w:rsidR="00604E61" w:rsidRPr="00EE67E8" w:rsidRDefault="00604E61" w:rsidP="00462D07">
            <w:pPr>
              <w:spacing w:after="60"/>
              <w:rPr>
                <w:rFonts w:cstheme="minorHAnsi"/>
                <w:sz w:val="20"/>
                <w:szCs w:val="20"/>
                <w:u w:val="single"/>
              </w:rPr>
            </w:pPr>
          </w:p>
        </w:tc>
      </w:tr>
      <w:tr w:rsidR="00604E61" w:rsidRPr="00EE67E8" w14:paraId="6F1E1869" w14:textId="77777777" w:rsidTr="00EE67E8">
        <w:trPr>
          <w:trHeight w:val="454"/>
        </w:trPr>
        <w:tc>
          <w:tcPr>
            <w:tcW w:w="7763" w:type="dxa"/>
            <w:tcBorders>
              <w:top w:val="dotted" w:sz="4" w:space="0" w:color="auto"/>
              <w:left w:val="dotted" w:sz="4" w:space="0" w:color="auto"/>
              <w:bottom w:val="dotted" w:sz="4" w:space="0" w:color="auto"/>
            </w:tcBorders>
            <w:vAlign w:val="center"/>
          </w:tcPr>
          <w:p w14:paraId="466987FD" w14:textId="7BE73A69" w:rsidR="00604E61" w:rsidRPr="00EE67E8" w:rsidRDefault="00604E61" w:rsidP="00462D07">
            <w:pPr>
              <w:spacing w:after="60"/>
              <w:rPr>
                <w:rFonts w:cstheme="minorHAnsi"/>
                <w:sz w:val="20"/>
                <w:szCs w:val="20"/>
              </w:rPr>
            </w:pPr>
            <w:r w:rsidRPr="00EE67E8">
              <w:rPr>
                <w:rFonts w:cstheme="minorHAnsi"/>
                <w:sz w:val="20"/>
                <w:szCs w:val="20"/>
              </w:rPr>
              <w:t>Keep the information flowing systematically</w:t>
            </w:r>
            <w:r w:rsidR="00034DA6">
              <w:rPr>
                <w:rFonts w:cstheme="minorHAnsi"/>
                <w:sz w:val="20"/>
                <w:szCs w:val="20"/>
              </w:rPr>
              <w:t xml:space="preserve"> between social protection and cash coordination groups</w:t>
            </w:r>
            <w:r w:rsidRPr="00EE67E8">
              <w:rPr>
                <w:rFonts w:cstheme="minorHAnsi"/>
                <w:sz w:val="20"/>
                <w:szCs w:val="20"/>
              </w:rPr>
              <w:t>, making use of multiple channels</w:t>
            </w:r>
            <w:r w:rsidR="00C31C98" w:rsidRPr="00EE67E8">
              <w:rPr>
                <w:rFonts w:cstheme="minorHAnsi"/>
                <w:sz w:val="20"/>
                <w:szCs w:val="20"/>
              </w:rPr>
              <w:t xml:space="preserve"> such as</w:t>
            </w:r>
            <w:r w:rsidRPr="00EE67E8">
              <w:rPr>
                <w:rFonts w:cstheme="minorHAnsi"/>
                <w:sz w:val="20"/>
                <w:szCs w:val="20"/>
              </w:rPr>
              <w:t>: mutual focal points between coordination groups; inclusion in mailing lists; presentations on coordination systems, programmes, and opportunities for collaboration; events for networking; field visits for operational actors from both sectors.</w:t>
            </w:r>
          </w:p>
        </w:tc>
        <w:tc>
          <w:tcPr>
            <w:tcW w:w="1983" w:type="dxa"/>
            <w:vMerge/>
            <w:vAlign w:val="center"/>
          </w:tcPr>
          <w:p w14:paraId="5992C861" w14:textId="77777777" w:rsidR="00604E61" w:rsidRPr="00EE67E8" w:rsidRDefault="00604E61" w:rsidP="00462D07">
            <w:pPr>
              <w:spacing w:after="60"/>
              <w:rPr>
                <w:rFonts w:cstheme="minorHAnsi"/>
                <w:sz w:val="20"/>
                <w:szCs w:val="20"/>
                <w:u w:val="single"/>
              </w:rPr>
            </w:pPr>
          </w:p>
        </w:tc>
      </w:tr>
      <w:tr w:rsidR="00604E61" w:rsidRPr="00EE67E8" w14:paraId="3034FBDE" w14:textId="77777777" w:rsidTr="00EE67E8">
        <w:trPr>
          <w:trHeight w:val="454"/>
        </w:trPr>
        <w:tc>
          <w:tcPr>
            <w:tcW w:w="7763" w:type="dxa"/>
            <w:tcBorders>
              <w:top w:val="dotted" w:sz="4" w:space="0" w:color="auto"/>
              <w:left w:val="dotted" w:sz="4" w:space="0" w:color="auto"/>
            </w:tcBorders>
            <w:vAlign w:val="center"/>
          </w:tcPr>
          <w:p w14:paraId="6ED0ECD4" w14:textId="65998A81" w:rsidR="001D6C12" w:rsidRPr="00EE67E8" w:rsidRDefault="00C046A5" w:rsidP="001D6C12">
            <w:pPr>
              <w:spacing w:after="60"/>
              <w:rPr>
                <w:rFonts w:cstheme="minorHAnsi"/>
                <w:sz w:val="20"/>
                <w:szCs w:val="20"/>
              </w:rPr>
            </w:pPr>
            <w:r w:rsidRPr="00EE67E8">
              <w:rPr>
                <w:rFonts w:eastAsia="UniversCE-Light" w:cstheme="minorHAnsi"/>
                <w:b/>
                <w:bCs/>
                <w:color w:val="3D3C3B"/>
                <w:sz w:val="20"/>
                <w:szCs w:val="20"/>
              </w:rPr>
              <w:t>[</w:t>
            </w:r>
            <w:r w:rsidRPr="00EE67E8">
              <w:rPr>
                <w:rFonts w:eastAsia="UniversCE-Light" w:cstheme="minorHAnsi"/>
                <w:b/>
                <w:bCs/>
                <w:i/>
                <w:iCs/>
                <w:color w:val="3D3C3B"/>
                <w:sz w:val="20"/>
                <w:szCs w:val="20"/>
              </w:rPr>
              <w:t>Inclusion</w:t>
            </w:r>
            <w:r>
              <w:rPr>
                <w:rFonts w:eastAsia="UniversCE-Light" w:cstheme="minorHAnsi"/>
                <w:b/>
                <w:bCs/>
                <w:i/>
                <w:iCs/>
                <w:color w:val="3D3C3B"/>
                <w:sz w:val="20"/>
                <w:szCs w:val="20"/>
              </w:rPr>
              <w:t xml:space="preserve"> and AAP</w:t>
            </w:r>
            <w:r w:rsidRPr="00EE67E8">
              <w:rPr>
                <w:rFonts w:eastAsia="UniversCE-Light" w:cstheme="minorHAnsi"/>
                <w:b/>
                <w:bCs/>
                <w:color w:val="3D3C3B"/>
                <w:sz w:val="20"/>
                <w:szCs w:val="20"/>
              </w:rPr>
              <w:t xml:space="preserve">] </w:t>
            </w:r>
            <w:r w:rsidR="001D6C12" w:rsidRPr="00EE67E8">
              <w:rPr>
                <w:rFonts w:cstheme="minorHAnsi"/>
                <w:sz w:val="20"/>
                <w:szCs w:val="20"/>
              </w:rPr>
              <w:t>Encourage participation of government representatives and CSOs focused on inclusion and responding to needs associated with gender, pregnancy, age, disability, migration, and other marginalised vulnerable groups in both social protection and emergency cash coordination groups. Ensure that UNICEF is an active voice on these needs and facilitates access of representatives and local groups working on these agendas.</w:t>
            </w:r>
          </w:p>
          <w:p w14:paraId="2BCEC551" w14:textId="6578F076" w:rsidR="00DF4AC8" w:rsidRPr="00EE67E8" w:rsidRDefault="00973BCD" w:rsidP="00DF4AC8">
            <w:pPr>
              <w:spacing w:after="60"/>
              <w:rPr>
                <w:rFonts w:cstheme="minorHAnsi"/>
                <w:sz w:val="20"/>
                <w:szCs w:val="20"/>
              </w:rPr>
            </w:pPr>
            <w:r w:rsidRPr="00EE67E8">
              <w:rPr>
                <w:rFonts w:cstheme="minorHAnsi"/>
                <w:sz w:val="20"/>
                <w:szCs w:val="20"/>
              </w:rPr>
              <w:t>Consider i</w:t>
            </w:r>
            <w:r w:rsidR="00DF4AC8" w:rsidRPr="00EE67E8">
              <w:rPr>
                <w:rFonts w:cstheme="minorHAnsi"/>
                <w:sz w:val="20"/>
                <w:szCs w:val="20"/>
              </w:rPr>
              <w:t>nvit</w:t>
            </w:r>
            <w:r w:rsidRPr="00EE67E8">
              <w:rPr>
                <w:rFonts w:cstheme="minorHAnsi"/>
                <w:sz w:val="20"/>
                <w:szCs w:val="20"/>
              </w:rPr>
              <w:t>ing</w:t>
            </w:r>
            <w:r w:rsidR="00DF4AC8" w:rsidRPr="00EE67E8">
              <w:rPr>
                <w:rFonts w:cstheme="minorHAnsi"/>
                <w:sz w:val="20"/>
                <w:szCs w:val="20"/>
              </w:rPr>
              <w:t xml:space="preserve"> participation from INGOs or CSOs engaged in independent civil society monitoring of the humanitarian response (e.g., Transparency International).</w:t>
            </w:r>
          </w:p>
        </w:tc>
        <w:tc>
          <w:tcPr>
            <w:tcW w:w="1983" w:type="dxa"/>
            <w:vMerge/>
            <w:vAlign w:val="center"/>
          </w:tcPr>
          <w:p w14:paraId="36748C3E" w14:textId="77777777" w:rsidR="00604E61" w:rsidRPr="00EE67E8" w:rsidRDefault="00604E61" w:rsidP="00462D07">
            <w:pPr>
              <w:spacing w:after="60"/>
              <w:rPr>
                <w:rFonts w:cstheme="minorHAnsi"/>
                <w:sz w:val="20"/>
                <w:szCs w:val="20"/>
                <w:u w:val="single"/>
              </w:rPr>
            </w:pPr>
          </w:p>
        </w:tc>
      </w:tr>
      <w:tr w:rsidR="005F4C3F" w:rsidRPr="00EE67E8" w14:paraId="325F1034" w14:textId="77777777" w:rsidTr="007C48B2">
        <w:trPr>
          <w:trHeight w:val="315"/>
        </w:trPr>
        <w:tc>
          <w:tcPr>
            <w:tcW w:w="9746" w:type="dxa"/>
            <w:gridSpan w:val="2"/>
            <w:tcBorders>
              <w:top w:val="nil"/>
              <w:left w:val="nil"/>
              <w:bottom w:val="single" w:sz="4" w:space="0" w:color="auto"/>
              <w:right w:val="nil"/>
            </w:tcBorders>
            <w:shd w:val="clear" w:color="auto" w:fill="auto"/>
            <w:vAlign w:val="center"/>
          </w:tcPr>
          <w:p w14:paraId="1D827F6C" w14:textId="20C4E3CE" w:rsidR="005F4C3F" w:rsidRPr="00EE67E8" w:rsidRDefault="004C4183" w:rsidP="004C4183">
            <w:pPr>
              <w:spacing w:before="240" w:after="60"/>
              <w:rPr>
                <w:rFonts w:cstheme="minorHAnsi"/>
                <w:b/>
                <w:bCs/>
                <w:sz w:val="20"/>
                <w:szCs w:val="20"/>
              </w:rPr>
            </w:pPr>
            <w:r w:rsidRPr="00424455">
              <w:rPr>
                <w:rFonts w:cstheme="minorHAnsi"/>
                <w:b/>
                <w:bCs/>
                <w:color w:val="2E74B5" w:themeColor="accent5" w:themeShade="BF"/>
              </w:rPr>
              <w:t xml:space="preserve">4. </w:t>
            </w:r>
            <w:r w:rsidR="001E1EA7" w:rsidRPr="00424455">
              <w:rPr>
                <w:rFonts w:cstheme="minorHAnsi"/>
                <w:b/>
                <w:bCs/>
                <w:color w:val="2E74B5" w:themeColor="accent5" w:themeShade="BF"/>
              </w:rPr>
              <w:t xml:space="preserve">Common </w:t>
            </w:r>
            <w:r w:rsidR="000F3B3C" w:rsidRPr="00424455">
              <w:rPr>
                <w:rFonts w:cstheme="minorHAnsi"/>
                <w:b/>
                <w:bCs/>
                <w:color w:val="2E74B5" w:themeColor="accent5" w:themeShade="BF"/>
              </w:rPr>
              <w:t>A</w:t>
            </w:r>
            <w:r w:rsidR="005F4C3F" w:rsidRPr="00424455">
              <w:rPr>
                <w:rFonts w:cstheme="minorHAnsi"/>
                <w:b/>
                <w:bCs/>
                <w:color w:val="2E74B5" w:themeColor="accent5" w:themeShade="BF"/>
              </w:rPr>
              <w:t xml:space="preserve">reas of </w:t>
            </w:r>
            <w:r w:rsidR="00653C7C" w:rsidRPr="00424455">
              <w:rPr>
                <w:rFonts w:cstheme="minorHAnsi"/>
                <w:b/>
                <w:bCs/>
                <w:color w:val="2E74B5" w:themeColor="accent5" w:themeShade="BF"/>
              </w:rPr>
              <w:t>S</w:t>
            </w:r>
            <w:r w:rsidR="005F4C3F" w:rsidRPr="00424455">
              <w:rPr>
                <w:rFonts w:cstheme="minorHAnsi"/>
                <w:b/>
                <w:bCs/>
                <w:color w:val="2E74B5" w:themeColor="accent5" w:themeShade="BF"/>
              </w:rPr>
              <w:t>trategic</w:t>
            </w:r>
            <w:r w:rsidR="002E2B15" w:rsidRPr="00424455">
              <w:rPr>
                <w:rFonts w:cstheme="minorHAnsi"/>
                <w:b/>
                <w:bCs/>
                <w:color w:val="2E74B5" w:themeColor="accent5" w:themeShade="BF"/>
              </w:rPr>
              <w:t>, Technical and Operational</w:t>
            </w:r>
            <w:r w:rsidR="005F4C3F" w:rsidRPr="00424455">
              <w:rPr>
                <w:rFonts w:cstheme="minorHAnsi"/>
                <w:b/>
                <w:bCs/>
                <w:color w:val="2E74B5" w:themeColor="accent5" w:themeShade="BF"/>
              </w:rPr>
              <w:t xml:space="preserve"> </w:t>
            </w:r>
            <w:r w:rsidR="00653C7C" w:rsidRPr="00424455">
              <w:rPr>
                <w:rFonts w:cstheme="minorHAnsi"/>
                <w:b/>
                <w:bCs/>
                <w:color w:val="2E74B5" w:themeColor="accent5" w:themeShade="BF"/>
              </w:rPr>
              <w:t>C</w:t>
            </w:r>
            <w:r w:rsidR="005F4C3F" w:rsidRPr="00424455">
              <w:rPr>
                <w:rFonts w:cstheme="minorHAnsi"/>
                <w:b/>
                <w:bCs/>
                <w:color w:val="2E74B5" w:themeColor="accent5" w:themeShade="BF"/>
              </w:rPr>
              <w:t>oordination</w:t>
            </w:r>
          </w:p>
        </w:tc>
      </w:tr>
      <w:tr w:rsidR="002E2B15" w:rsidRPr="00EE67E8" w14:paraId="193C648B" w14:textId="77777777" w:rsidTr="00424455">
        <w:trPr>
          <w:trHeight w:val="326"/>
        </w:trPr>
        <w:tc>
          <w:tcPr>
            <w:tcW w:w="9746" w:type="dxa"/>
            <w:gridSpan w:val="2"/>
            <w:tcBorders>
              <w:top w:val="single" w:sz="4" w:space="0" w:color="auto"/>
              <w:bottom w:val="single" w:sz="4" w:space="0" w:color="auto"/>
            </w:tcBorders>
            <w:shd w:val="clear" w:color="auto" w:fill="2E74B5" w:themeFill="accent5" w:themeFillShade="BF"/>
            <w:vAlign w:val="center"/>
          </w:tcPr>
          <w:p w14:paraId="28F34F78" w14:textId="06F95C52" w:rsidR="002E2B15" w:rsidRPr="003312CF" w:rsidRDefault="002E2B15" w:rsidP="005F4C3F">
            <w:pPr>
              <w:rPr>
                <w:rFonts w:cstheme="minorHAnsi"/>
                <w:b/>
                <w:bCs/>
                <w:color w:val="FFFFFF" w:themeColor="background1"/>
                <w:sz w:val="20"/>
                <w:szCs w:val="20"/>
              </w:rPr>
            </w:pPr>
          </w:p>
        </w:tc>
      </w:tr>
      <w:tr w:rsidR="00FA2762" w:rsidRPr="00EE67E8" w14:paraId="730F1D70" w14:textId="77777777" w:rsidTr="007C48B2">
        <w:trPr>
          <w:trHeight w:val="60"/>
        </w:trPr>
        <w:tc>
          <w:tcPr>
            <w:tcW w:w="9746" w:type="dxa"/>
            <w:gridSpan w:val="2"/>
            <w:tcBorders>
              <w:bottom w:val="dotted" w:sz="4" w:space="0" w:color="auto"/>
            </w:tcBorders>
            <w:vAlign w:val="center"/>
          </w:tcPr>
          <w:p w14:paraId="09F40FCF" w14:textId="058C358A" w:rsidR="00FA2762" w:rsidRPr="000911F5" w:rsidRDefault="00FA2762" w:rsidP="00462D07">
            <w:pPr>
              <w:spacing w:after="60"/>
              <w:rPr>
                <w:rFonts w:cstheme="minorHAnsi"/>
                <w:i/>
                <w:iCs/>
                <w:sz w:val="20"/>
                <w:szCs w:val="20"/>
              </w:rPr>
            </w:pPr>
            <w:r w:rsidRPr="000911F5">
              <w:rPr>
                <w:rFonts w:cstheme="minorHAnsi"/>
                <w:i/>
                <w:iCs/>
                <w:sz w:val="20"/>
                <w:szCs w:val="20"/>
              </w:rPr>
              <w:t xml:space="preserve">The following is a non-exhaustive list of the common issues addressed through </w:t>
            </w:r>
            <w:r>
              <w:rPr>
                <w:rFonts w:cstheme="minorHAnsi"/>
                <w:i/>
                <w:iCs/>
                <w:sz w:val="20"/>
                <w:szCs w:val="20"/>
              </w:rPr>
              <w:t xml:space="preserve">social protection and cash </w:t>
            </w:r>
            <w:r w:rsidRPr="000911F5">
              <w:rPr>
                <w:rFonts w:cstheme="minorHAnsi"/>
                <w:i/>
                <w:iCs/>
                <w:sz w:val="20"/>
                <w:szCs w:val="20"/>
              </w:rPr>
              <w:t xml:space="preserve">coordination. </w:t>
            </w:r>
            <w:r>
              <w:rPr>
                <w:rFonts w:cstheme="minorHAnsi"/>
                <w:i/>
                <w:iCs/>
                <w:sz w:val="20"/>
                <w:szCs w:val="20"/>
              </w:rPr>
              <w:t>The</w:t>
            </w:r>
            <w:r w:rsidRPr="000911F5">
              <w:rPr>
                <w:rFonts w:cstheme="minorHAnsi"/>
                <w:i/>
                <w:iCs/>
                <w:sz w:val="20"/>
                <w:szCs w:val="20"/>
              </w:rPr>
              <w:t xml:space="preserve"> actions </w:t>
            </w:r>
            <w:r>
              <w:rPr>
                <w:rFonts w:cstheme="minorHAnsi"/>
                <w:i/>
                <w:iCs/>
                <w:sz w:val="20"/>
                <w:szCs w:val="20"/>
              </w:rPr>
              <w:t>are</w:t>
            </w:r>
            <w:r w:rsidRPr="000911F5">
              <w:rPr>
                <w:rFonts w:cstheme="minorHAnsi"/>
                <w:i/>
                <w:iCs/>
                <w:sz w:val="20"/>
                <w:szCs w:val="20"/>
              </w:rPr>
              <w:t xml:space="preserve"> </w:t>
            </w:r>
            <w:r>
              <w:rPr>
                <w:rFonts w:cstheme="minorHAnsi"/>
                <w:i/>
                <w:iCs/>
                <w:sz w:val="20"/>
                <w:szCs w:val="20"/>
              </w:rPr>
              <w:t xml:space="preserve">typically the </w:t>
            </w:r>
            <w:r w:rsidRPr="000911F5">
              <w:rPr>
                <w:rFonts w:cstheme="minorHAnsi"/>
                <w:i/>
                <w:iCs/>
                <w:sz w:val="20"/>
                <w:szCs w:val="20"/>
              </w:rPr>
              <w:t>responsibility of coordination groups such as the CWG rather than UNICEF specifically.</w:t>
            </w:r>
          </w:p>
        </w:tc>
      </w:tr>
      <w:tr w:rsidR="002E2B15" w:rsidRPr="00EE67E8" w14:paraId="1AA58CA5" w14:textId="77777777" w:rsidTr="007C48B2">
        <w:trPr>
          <w:trHeight w:val="60"/>
        </w:trPr>
        <w:tc>
          <w:tcPr>
            <w:tcW w:w="9746" w:type="dxa"/>
            <w:gridSpan w:val="2"/>
            <w:tcBorders>
              <w:bottom w:val="dotted" w:sz="4" w:space="0" w:color="auto"/>
            </w:tcBorders>
            <w:vAlign w:val="center"/>
          </w:tcPr>
          <w:p w14:paraId="5F53752B" w14:textId="3FA3C99B" w:rsidR="002E2B15" w:rsidRPr="00EE67E8" w:rsidRDefault="002E2B15" w:rsidP="00462D07">
            <w:pPr>
              <w:spacing w:after="60"/>
              <w:rPr>
                <w:rFonts w:cstheme="minorHAnsi"/>
                <w:b/>
                <w:bCs/>
                <w:sz w:val="20"/>
                <w:szCs w:val="20"/>
              </w:rPr>
            </w:pPr>
            <w:r w:rsidRPr="00EE67E8">
              <w:rPr>
                <w:rFonts w:cstheme="minorHAnsi"/>
                <w:b/>
                <w:bCs/>
                <w:sz w:val="20"/>
                <w:szCs w:val="20"/>
              </w:rPr>
              <w:t>Common areas of strategic coordination</w:t>
            </w:r>
          </w:p>
          <w:p w14:paraId="3BD0CEFE" w14:textId="3B1127DB" w:rsidR="002E2B15" w:rsidRPr="00EE67E8" w:rsidRDefault="007B5A4D" w:rsidP="00462D07">
            <w:pPr>
              <w:pStyle w:val="ListParagraph"/>
              <w:numPr>
                <w:ilvl w:val="0"/>
                <w:numId w:val="10"/>
              </w:numPr>
              <w:spacing w:after="60"/>
              <w:ind w:left="284" w:hanging="284"/>
              <w:rPr>
                <w:rFonts w:cstheme="minorHAnsi"/>
                <w:sz w:val="20"/>
                <w:szCs w:val="20"/>
              </w:rPr>
            </w:pPr>
            <w:r w:rsidRPr="00EE67E8">
              <w:rPr>
                <w:rFonts w:cstheme="minorHAnsi"/>
                <w:sz w:val="20"/>
                <w:szCs w:val="20"/>
              </w:rPr>
              <w:t>S</w:t>
            </w:r>
            <w:r w:rsidR="002E2B15" w:rsidRPr="00EE67E8">
              <w:rPr>
                <w:rFonts w:cstheme="minorHAnsi"/>
                <w:sz w:val="20"/>
                <w:szCs w:val="20"/>
              </w:rPr>
              <w:t>har</w:t>
            </w:r>
            <w:r w:rsidR="004C4183" w:rsidRPr="00EE67E8">
              <w:rPr>
                <w:rFonts w:cstheme="minorHAnsi"/>
                <w:sz w:val="20"/>
                <w:szCs w:val="20"/>
              </w:rPr>
              <w:t>e</w:t>
            </w:r>
            <w:r w:rsidR="002E2B15" w:rsidRPr="00EE67E8">
              <w:rPr>
                <w:rFonts w:cstheme="minorHAnsi"/>
                <w:sz w:val="20"/>
                <w:szCs w:val="20"/>
              </w:rPr>
              <w:t>, gather</w:t>
            </w:r>
            <w:r w:rsidRPr="00EE67E8">
              <w:rPr>
                <w:rFonts w:cstheme="minorHAnsi"/>
                <w:sz w:val="20"/>
                <w:szCs w:val="20"/>
              </w:rPr>
              <w:t>,</w:t>
            </w:r>
            <w:r w:rsidR="002E2B15" w:rsidRPr="00EE67E8">
              <w:rPr>
                <w:rFonts w:cstheme="minorHAnsi"/>
                <w:sz w:val="20"/>
                <w:szCs w:val="20"/>
              </w:rPr>
              <w:t xml:space="preserve"> and assess information about </w:t>
            </w:r>
            <w:r w:rsidR="00CB7405">
              <w:rPr>
                <w:rFonts w:cstheme="minorHAnsi"/>
                <w:sz w:val="20"/>
                <w:szCs w:val="20"/>
              </w:rPr>
              <w:t xml:space="preserve">existing/planned social cash transfers as well any </w:t>
            </w:r>
            <w:r w:rsidR="002E2B15" w:rsidRPr="00EE67E8">
              <w:rPr>
                <w:rFonts w:cstheme="minorHAnsi"/>
                <w:sz w:val="20"/>
                <w:szCs w:val="20"/>
              </w:rPr>
              <w:t xml:space="preserve">planned and active cash and other relevant interventions. </w:t>
            </w:r>
          </w:p>
          <w:p w14:paraId="54A1AEF4" w14:textId="70900BD3" w:rsidR="002E2B15" w:rsidRPr="00EE67E8" w:rsidRDefault="00CB7405" w:rsidP="00462D07">
            <w:pPr>
              <w:pStyle w:val="ListParagraph"/>
              <w:numPr>
                <w:ilvl w:val="0"/>
                <w:numId w:val="10"/>
              </w:numPr>
              <w:spacing w:after="60"/>
              <w:ind w:left="284" w:hanging="284"/>
              <w:rPr>
                <w:rFonts w:cstheme="minorHAnsi"/>
                <w:sz w:val="20"/>
                <w:szCs w:val="20"/>
              </w:rPr>
            </w:pPr>
            <w:r>
              <w:rPr>
                <w:rFonts w:cstheme="minorHAnsi"/>
                <w:sz w:val="20"/>
                <w:szCs w:val="20"/>
              </w:rPr>
              <w:t xml:space="preserve">Encourage and participate in </w:t>
            </w:r>
            <w:r w:rsidR="00034DA6">
              <w:rPr>
                <w:rFonts w:cstheme="minorHAnsi"/>
                <w:sz w:val="20"/>
                <w:szCs w:val="20"/>
              </w:rPr>
              <w:t>j</w:t>
            </w:r>
            <w:r w:rsidR="00AB0E3A" w:rsidRPr="00EE67E8">
              <w:rPr>
                <w:rFonts w:cstheme="minorHAnsi"/>
                <w:sz w:val="20"/>
                <w:szCs w:val="20"/>
              </w:rPr>
              <w:t xml:space="preserve">oint response analysis and design to ensure that </w:t>
            </w:r>
            <w:r w:rsidR="004969E3" w:rsidRPr="00EE67E8">
              <w:rPr>
                <w:rFonts w:cstheme="minorHAnsi"/>
                <w:sz w:val="20"/>
                <w:szCs w:val="20"/>
              </w:rPr>
              <w:t>emergency cash</w:t>
            </w:r>
            <w:r w:rsidR="00AB0E3A" w:rsidRPr="00EE67E8">
              <w:rPr>
                <w:rFonts w:cstheme="minorHAnsi"/>
                <w:sz w:val="20"/>
                <w:szCs w:val="20"/>
              </w:rPr>
              <w:t xml:space="preserve"> is effectively integrated as a key modality in the humanitarian response plan across sectors, </w:t>
            </w:r>
            <w:r w:rsidR="002E2B15" w:rsidRPr="00EE67E8">
              <w:rPr>
                <w:rFonts w:cstheme="minorHAnsi"/>
                <w:sz w:val="20"/>
                <w:szCs w:val="20"/>
              </w:rPr>
              <w:t xml:space="preserve">including harmonisation on the breadth and depth of the response (how ‘thinly’ resources </w:t>
            </w:r>
            <w:r w:rsidR="004C4183" w:rsidRPr="00EE67E8">
              <w:rPr>
                <w:rFonts w:cstheme="minorHAnsi"/>
                <w:sz w:val="20"/>
                <w:szCs w:val="20"/>
              </w:rPr>
              <w:t xml:space="preserve">are </w:t>
            </w:r>
            <w:r w:rsidR="002E2B15" w:rsidRPr="00EE67E8">
              <w:rPr>
                <w:rFonts w:cstheme="minorHAnsi"/>
                <w:sz w:val="20"/>
                <w:szCs w:val="20"/>
              </w:rPr>
              <w:t>spread)</w:t>
            </w:r>
            <w:r w:rsidR="00AB0E3A" w:rsidRPr="00EE67E8">
              <w:rPr>
                <w:rFonts w:cstheme="minorHAnsi"/>
                <w:sz w:val="20"/>
                <w:szCs w:val="20"/>
              </w:rPr>
              <w:t>.</w:t>
            </w:r>
          </w:p>
          <w:p w14:paraId="7B229DCF" w14:textId="61D7824C" w:rsidR="002E2B15" w:rsidRPr="00EE67E8" w:rsidRDefault="002E2B15" w:rsidP="00462D07">
            <w:pPr>
              <w:pStyle w:val="ListParagraph"/>
              <w:numPr>
                <w:ilvl w:val="0"/>
                <w:numId w:val="10"/>
              </w:numPr>
              <w:spacing w:after="60"/>
              <w:ind w:left="284" w:hanging="284"/>
              <w:rPr>
                <w:rFonts w:cstheme="minorHAnsi"/>
                <w:sz w:val="20"/>
                <w:szCs w:val="20"/>
              </w:rPr>
            </w:pPr>
            <w:r w:rsidRPr="00EE67E8">
              <w:rPr>
                <w:rFonts w:cstheme="minorHAnsi"/>
                <w:sz w:val="20"/>
                <w:szCs w:val="20"/>
              </w:rPr>
              <w:t>Promot</w:t>
            </w:r>
            <w:r w:rsidR="004C4183" w:rsidRPr="00EE67E8">
              <w:rPr>
                <w:rFonts w:cstheme="minorHAnsi"/>
                <w:sz w:val="20"/>
                <w:szCs w:val="20"/>
              </w:rPr>
              <w:t>e</w:t>
            </w:r>
            <w:r w:rsidRPr="00EE67E8">
              <w:rPr>
                <w:rFonts w:cstheme="minorHAnsi"/>
                <w:sz w:val="20"/>
                <w:szCs w:val="20"/>
              </w:rPr>
              <w:t xml:space="preserve"> the role of SRSP in the emergency response and </w:t>
            </w:r>
            <w:r w:rsidR="00AB0E3A" w:rsidRPr="00EE67E8">
              <w:rPr>
                <w:rFonts w:cstheme="minorHAnsi"/>
                <w:sz w:val="20"/>
                <w:szCs w:val="20"/>
              </w:rPr>
              <w:t>identify entry points</w:t>
            </w:r>
            <w:r w:rsidRPr="00EE67E8">
              <w:rPr>
                <w:rFonts w:cstheme="minorHAnsi"/>
                <w:sz w:val="20"/>
                <w:szCs w:val="20"/>
              </w:rPr>
              <w:t xml:space="preserve"> for linking and alignment of </w:t>
            </w:r>
            <w:r w:rsidR="007C48B2" w:rsidRPr="00EE67E8">
              <w:rPr>
                <w:rFonts w:cstheme="minorHAnsi"/>
                <w:sz w:val="20"/>
                <w:szCs w:val="20"/>
              </w:rPr>
              <w:t xml:space="preserve">emergency cash </w:t>
            </w:r>
            <w:r w:rsidRPr="00EE67E8">
              <w:rPr>
                <w:rFonts w:cstheme="minorHAnsi"/>
                <w:sz w:val="20"/>
                <w:szCs w:val="20"/>
              </w:rPr>
              <w:t xml:space="preserve">with </w:t>
            </w:r>
            <w:r w:rsidR="004969E3" w:rsidRPr="00EE67E8">
              <w:rPr>
                <w:rFonts w:cstheme="minorHAnsi"/>
                <w:sz w:val="20"/>
                <w:szCs w:val="20"/>
              </w:rPr>
              <w:t>social protection</w:t>
            </w:r>
            <w:r w:rsidRPr="00EE67E8">
              <w:rPr>
                <w:rFonts w:cstheme="minorHAnsi"/>
                <w:sz w:val="20"/>
                <w:szCs w:val="20"/>
              </w:rPr>
              <w:t xml:space="preserve"> systems</w:t>
            </w:r>
            <w:r w:rsidR="004969E3" w:rsidRPr="00EE67E8">
              <w:rPr>
                <w:rFonts w:cstheme="minorHAnsi"/>
                <w:sz w:val="20"/>
                <w:szCs w:val="20"/>
              </w:rPr>
              <w:t>, where feasible and informed by humanitarian principles.</w:t>
            </w:r>
          </w:p>
          <w:p w14:paraId="77267D65" w14:textId="6B0556F1" w:rsidR="002E2B15" w:rsidRPr="00EE67E8" w:rsidRDefault="002E2B15" w:rsidP="007C48B2">
            <w:pPr>
              <w:pStyle w:val="ListParagraph"/>
              <w:numPr>
                <w:ilvl w:val="0"/>
                <w:numId w:val="10"/>
              </w:numPr>
              <w:spacing w:after="60"/>
              <w:ind w:left="284" w:hanging="284"/>
              <w:rPr>
                <w:rFonts w:cstheme="minorHAnsi"/>
                <w:sz w:val="20"/>
                <w:szCs w:val="20"/>
              </w:rPr>
            </w:pPr>
            <w:r w:rsidRPr="00EE67E8">
              <w:rPr>
                <w:rFonts w:cstheme="minorHAnsi"/>
                <w:sz w:val="20"/>
                <w:szCs w:val="20"/>
              </w:rPr>
              <w:lastRenderedPageBreak/>
              <w:t>Agree common or harmonised monitoring and reporting. It is common for CWGs to limit reporting to multi-purpose cash grants (MPCG), providing only a partial picture of the response</w:t>
            </w:r>
            <w:r w:rsidR="00973BCD" w:rsidRPr="00EE67E8">
              <w:rPr>
                <w:rFonts w:cstheme="minorHAnsi"/>
                <w:sz w:val="20"/>
                <w:szCs w:val="20"/>
              </w:rPr>
              <w:t xml:space="preserve"> that excludes sector specific and social protection transfers</w:t>
            </w:r>
            <w:r w:rsidRPr="00EE67E8">
              <w:rPr>
                <w:rFonts w:cstheme="minorHAnsi"/>
                <w:sz w:val="20"/>
                <w:szCs w:val="20"/>
              </w:rPr>
              <w:t>.</w:t>
            </w:r>
          </w:p>
        </w:tc>
      </w:tr>
      <w:tr w:rsidR="007C48B2" w:rsidRPr="00EE67E8" w14:paraId="4F61F12E" w14:textId="77777777" w:rsidTr="007C48B2">
        <w:trPr>
          <w:trHeight w:val="60"/>
        </w:trPr>
        <w:tc>
          <w:tcPr>
            <w:tcW w:w="9746" w:type="dxa"/>
            <w:gridSpan w:val="2"/>
            <w:tcBorders>
              <w:top w:val="dotted" w:sz="4" w:space="0" w:color="auto"/>
              <w:bottom w:val="dotted" w:sz="4" w:space="0" w:color="auto"/>
            </w:tcBorders>
            <w:vAlign w:val="center"/>
          </w:tcPr>
          <w:p w14:paraId="68928046" w14:textId="29383A1A" w:rsidR="007C48B2" w:rsidRPr="00EE67E8" w:rsidRDefault="007C48B2" w:rsidP="007C48B2">
            <w:pPr>
              <w:spacing w:after="60"/>
              <w:rPr>
                <w:rFonts w:cstheme="minorHAnsi"/>
                <w:b/>
                <w:bCs/>
                <w:sz w:val="20"/>
                <w:szCs w:val="20"/>
              </w:rPr>
            </w:pPr>
            <w:r w:rsidRPr="00EE67E8">
              <w:rPr>
                <w:rFonts w:cstheme="minorHAnsi"/>
                <w:b/>
                <w:bCs/>
                <w:sz w:val="20"/>
                <w:szCs w:val="20"/>
              </w:rPr>
              <w:lastRenderedPageBreak/>
              <w:t>Common areas of technical coordination</w:t>
            </w:r>
          </w:p>
          <w:p w14:paraId="574FF6BD" w14:textId="37CF8BDE" w:rsidR="007C48B2" w:rsidRPr="00EE67E8" w:rsidRDefault="007C48B2" w:rsidP="007C48B2">
            <w:pPr>
              <w:pStyle w:val="ListParagraph"/>
              <w:numPr>
                <w:ilvl w:val="0"/>
                <w:numId w:val="9"/>
              </w:numPr>
              <w:spacing w:after="60"/>
              <w:ind w:left="284" w:hanging="284"/>
              <w:rPr>
                <w:rFonts w:cstheme="minorHAnsi"/>
                <w:sz w:val="20"/>
                <w:szCs w:val="20"/>
              </w:rPr>
            </w:pPr>
            <w:r w:rsidRPr="00EE67E8">
              <w:rPr>
                <w:rFonts w:cstheme="minorHAnsi"/>
                <w:sz w:val="20"/>
                <w:szCs w:val="20"/>
              </w:rPr>
              <w:t>Undertak</w:t>
            </w:r>
            <w:r w:rsidR="004C4183" w:rsidRPr="00EE67E8">
              <w:rPr>
                <w:rFonts w:cstheme="minorHAnsi"/>
                <w:sz w:val="20"/>
                <w:szCs w:val="20"/>
              </w:rPr>
              <w:t>e</w:t>
            </w:r>
            <w:r w:rsidR="00CB7405">
              <w:rPr>
                <w:rFonts w:cstheme="minorHAnsi"/>
                <w:sz w:val="20"/>
                <w:szCs w:val="20"/>
              </w:rPr>
              <w:t xml:space="preserve"> or participate in</w:t>
            </w:r>
            <w:r w:rsidRPr="00EE67E8">
              <w:rPr>
                <w:rFonts w:cstheme="minorHAnsi"/>
                <w:sz w:val="20"/>
                <w:szCs w:val="20"/>
              </w:rPr>
              <w:t xml:space="preserve"> cash feasibility assessments including Situation and Response Analysis and Multi-Sector Market Assessment. UNICEF can ensure that CWG-led assessments include modules on </w:t>
            </w:r>
            <w:r w:rsidR="004969E3" w:rsidRPr="00EE67E8">
              <w:rPr>
                <w:rFonts w:cstheme="minorHAnsi"/>
                <w:sz w:val="20"/>
                <w:szCs w:val="20"/>
              </w:rPr>
              <w:t>social protection</w:t>
            </w:r>
            <w:r w:rsidRPr="00EE67E8">
              <w:rPr>
                <w:rFonts w:cstheme="minorHAnsi"/>
                <w:sz w:val="20"/>
                <w:szCs w:val="20"/>
              </w:rPr>
              <w:t xml:space="preserve"> systems and programmes and share existing assessments of </w:t>
            </w:r>
            <w:r w:rsidR="004969E3" w:rsidRPr="00EE67E8">
              <w:rPr>
                <w:rFonts w:cstheme="minorHAnsi"/>
                <w:sz w:val="20"/>
                <w:szCs w:val="20"/>
              </w:rPr>
              <w:t>social protection</w:t>
            </w:r>
            <w:r w:rsidRPr="00EE67E8">
              <w:rPr>
                <w:rFonts w:cstheme="minorHAnsi"/>
                <w:sz w:val="20"/>
                <w:szCs w:val="20"/>
              </w:rPr>
              <w:t xml:space="preserve"> systems capacity and shock-readiness with the CWG.</w:t>
            </w:r>
          </w:p>
          <w:p w14:paraId="31B98D6C" w14:textId="77FA4794" w:rsidR="007C48B2" w:rsidRPr="00EE67E8" w:rsidRDefault="007C48B2" w:rsidP="007C48B2">
            <w:pPr>
              <w:pStyle w:val="ListParagraph"/>
              <w:numPr>
                <w:ilvl w:val="0"/>
                <w:numId w:val="9"/>
              </w:numPr>
              <w:spacing w:after="60"/>
              <w:ind w:left="284" w:hanging="284"/>
              <w:rPr>
                <w:rFonts w:cstheme="minorHAnsi"/>
                <w:sz w:val="20"/>
                <w:szCs w:val="20"/>
              </w:rPr>
            </w:pPr>
            <w:r w:rsidRPr="00EE67E8">
              <w:rPr>
                <w:rFonts w:cstheme="minorHAnsi"/>
                <w:sz w:val="20"/>
                <w:szCs w:val="20"/>
              </w:rPr>
              <w:t>Defin</w:t>
            </w:r>
            <w:r w:rsidR="004C4183" w:rsidRPr="00EE67E8">
              <w:rPr>
                <w:rFonts w:cstheme="minorHAnsi"/>
                <w:sz w:val="20"/>
                <w:szCs w:val="20"/>
              </w:rPr>
              <w:t>e</w:t>
            </w:r>
            <w:r w:rsidRPr="00EE67E8">
              <w:rPr>
                <w:rFonts w:cstheme="minorHAnsi"/>
                <w:sz w:val="20"/>
                <w:szCs w:val="20"/>
              </w:rPr>
              <w:t xml:space="preserve"> common or harmonised targeting strategies. The basis for regular </w:t>
            </w:r>
            <w:r w:rsidR="004969E3" w:rsidRPr="00EE67E8">
              <w:rPr>
                <w:rFonts w:cstheme="minorHAnsi"/>
                <w:sz w:val="20"/>
                <w:szCs w:val="20"/>
              </w:rPr>
              <w:t>social protection</w:t>
            </w:r>
            <w:r w:rsidRPr="00EE67E8">
              <w:rPr>
                <w:rFonts w:cstheme="minorHAnsi"/>
                <w:sz w:val="20"/>
                <w:szCs w:val="20"/>
              </w:rPr>
              <w:t xml:space="preserve"> and humanitarian targeting often differ, sometimes considerably. Where necessary, UNICEF has a role in advocating for adaptation of </w:t>
            </w:r>
            <w:r w:rsidR="00C31C98" w:rsidRPr="00EE67E8">
              <w:rPr>
                <w:rFonts w:cstheme="minorHAnsi"/>
                <w:sz w:val="20"/>
                <w:szCs w:val="20"/>
              </w:rPr>
              <w:t>social protection</w:t>
            </w:r>
            <w:r w:rsidRPr="00EE67E8">
              <w:rPr>
                <w:rFonts w:cstheme="minorHAnsi"/>
                <w:sz w:val="20"/>
                <w:szCs w:val="20"/>
              </w:rPr>
              <w:t xml:space="preserve"> targeting for the emergency response and promoting alignment of humanitarian cash targeting approaches.</w:t>
            </w:r>
          </w:p>
          <w:p w14:paraId="36733D21" w14:textId="21CC05B6" w:rsidR="007C48B2" w:rsidRPr="00EE67E8" w:rsidRDefault="007C48B2" w:rsidP="007C48B2">
            <w:pPr>
              <w:pStyle w:val="ListParagraph"/>
              <w:numPr>
                <w:ilvl w:val="0"/>
                <w:numId w:val="9"/>
              </w:numPr>
              <w:spacing w:after="60"/>
              <w:ind w:left="284" w:hanging="284"/>
              <w:rPr>
                <w:rFonts w:cstheme="minorHAnsi"/>
                <w:sz w:val="20"/>
                <w:szCs w:val="20"/>
              </w:rPr>
            </w:pPr>
            <w:r w:rsidRPr="00EE67E8">
              <w:rPr>
                <w:rFonts w:cstheme="minorHAnsi"/>
                <w:sz w:val="20"/>
                <w:szCs w:val="20"/>
              </w:rPr>
              <w:t>Defin</w:t>
            </w:r>
            <w:r w:rsidR="004C4183" w:rsidRPr="00EE67E8">
              <w:rPr>
                <w:rFonts w:cstheme="minorHAnsi"/>
                <w:sz w:val="20"/>
                <w:szCs w:val="20"/>
              </w:rPr>
              <w:t>e</w:t>
            </w:r>
            <w:r w:rsidRPr="00EE67E8">
              <w:rPr>
                <w:rFonts w:cstheme="minorHAnsi"/>
                <w:sz w:val="20"/>
                <w:szCs w:val="20"/>
              </w:rPr>
              <w:t xml:space="preserve"> common or harmonised benefit levels. CWG members tend to favour the multi-purpose cash grant (MPCG) approach based on estimation of a minimum expenditure basket (MEB). Regular social protection benefits tend to be based on poverty assessments and extra costs of living associated with life-cycle vulnerabilities</w:t>
            </w:r>
            <w:r w:rsidR="001D6C12" w:rsidRPr="00EE67E8">
              <w:rPr>
                <w:rFonts w:cstheme="minorHAnsi"/>
                <w:sz w:val="20"/>
                <w:szCs w:val="20"/>
              </w:rPr>
              <w:t xml:space="preserve"> or inequities</w:t>
            </w:r>
            <w:r w:rsidRPr="00EE67E8">
              <w:rPr>
                <w:rFonts w:cstheme="minorHAnsi"/>
                <w:sz w:val="20"/>
                <w:szCs w:val="20"/>
              </w:rPr>
              <w:t>. In both cases, benefit values depend on political and legal considerations</w:t>
            </w:r>
            <w:r w:rsidR="006D131D">
              <w:rPr>
                <w:rFonts w:cstheme="minorHAnsi"/>
                <w:sz w:val="20"/>
                <w:szCs w:val="20"/>
              </w:rPr>
              <w:t>, nature of</w:t>
            </w:r>
            <w:r w:rsidR="000911F5">
              <w:rPr>
                <w:rFonts w:cstheme="minorHAnsi"/>
                <w:sz w:val="20"/>
                <w:szCs w:val="20"/>
              </w:rPr>
              <w:t xml:space="preserve"> </w:t>
            </w:r>
            <w:r w:rsidR="006D131D">
              <w:rPr>
                <w:rFonts w:cstheme="minorHAnsi"/>
                <w:sz w:val="20"/>
                <w:szCs w:val="20"/>
              </w:rPr>
              <w:t>the crisis,</w:t>
            </w:r>
            <w:r w:rsidRPr="00EE67E8">
              <w:rPr>
                <w:rFonts w:cstheme="minorHAnsi"/>
                <w:sz w:val="20"/>
                <w:szCs w:val="20"/>
              </w:rPr>
              <w:t xml:space="preserve"> and budget constraints. UNICEF also has a role in promoting incorporation of non MEB expenditures for specific groups such as school children, and people with disabilities</w:t>
            </w:r>
            <w:r w:rsidR="004969E3" w:rsidRPr="00EE67E8">
              <w:rPr>
                <w:rFonts w:cstheme="minorHAnsi"/>
                <w:sz w:val="20"/>
                <w:szCs w:val="20"/>
              </w:rPr>
              <w:t>, as well as sector specific MEB and/or inclusion of sector specific expenditures in the MEB.</w:t>
            </w:r>
          </w:p>
          <w:p w14:paraId="07BF425F" w14:textId="2B03DF33" w:rsidR="004969E3" w:rsidRPr="00EE67E8" w:rsidRDefault="007C48B2" w:rsidP="004C4183">
            <w:pPr>
              <w:pStyle w:val="ListParagraph"/>
              <w:numPr>
                <w:ilvl w:val="0"/>
                <w:numId w:val="9"/>
              </w:numPr>
              <w:spacing w:after="60"/>
              <w:ind w:left="284" w:hanging="284"/>
              <w:rPr>
                <w:rFonts w:cstheme="minorHAnsi"/>
                <w:sz w:val="20"/>
                <w:szCs w:val="20"/>
              </w:rPr>
            </w:pPr>
            <w:r w:rsidRPr="00EE67E8">
              <w:rPr>
                <w:rFonts w:cstheme="minorHAnsi"/>
                <w:sz w:val="20"/>
                <w:szCs w:val="20"/>
              </w:rPr>
              <w:t xml:space="preserve">Develop common or harmonised messaging and communications strategies. UNICEF should ensure that messaging </w:t>
            </w:r>
            <w:r w:rsidR="004C4183" w:rsidRPr="00EE67E8">
              <w:rPr>
                <w:rFonts w:cstheme="minorHAnsi"/>
                <w:sz w:val="20"/>
                <w:szCs w:val="20"/>
              </w:rPr>
              <w:t>of</w:t>
            </w:r>
            <w:r w:rsidRPr="00EE67E8">
              <w:rPr>
                <w:rFonts w:cstheme="minorHAnsi"/>
                <w:sz w:val="20"/>
                <w:szCs w:val="20"/>
              </w:rPr>
              <w:t xml:space="preserve"> </w:t>
            </w:r>
            <w:r w:rsidR="004969E3" w:rsidRPr="00EE67E8">
              <w:rPr>
                <w:rFonts w:cstheme="minorHAnsi"/>
                <w:sz w:val="20"/>
                <w:szCs w:val="20"/>
              </w:rPr>
              <w:t>social protection</w:t>
            </w:r>
            <w:r w:rsidRPr="00EE67E8">
              <w:rPr>
                <w:rFonts w:cstheme="minorHAnsi"/>
                <w:sz w:val="20"/>
                <w:szCs w:val="20"/>
              </w:rPr>
              <w:t xml:space="preserve"> and emergency cash interventions are </w:t>
            </w:r>
            <w:r w:rsidR="006D131D">
              <w:rPr>
                <w:rFonts w:cstheme="minorHAnsi"/>
                <w:sz w:val="20"/>
                <w:szCs w:val="20"/>
              </w:rPr>
              <w:t>articulated</w:t>
            </w:r>
            <w:r w:rsidR="006D131D" w:rsidRPr="00EE67E8">
              <w:rPr>
                <w:rFonts w:cstheme="minorHAnsi"/>
                <w:sz w:val="20"/>
                <w:szCs w:val="20"/>
              </w:rPr>
              <w:t xml:space="preserve"> </w:t>
            </w:r>
            <w:r w:rsidRPr="00EE67E8">
              <w:rPr>
                <w:rFonts w:cstheme="minorHAnsi"/>
                <w:sz w:val="20"/>
                <w:szCs w:val="20"/>
              </w:rPr>
              <w:t>and identify opportunities to improve access across sectors.</w:t>
            </w:r>
          </w:p>
        </w:tc>
      </w:tr>
      <w:tr w:rsidR="007C48B2" w:rsidRPr="00EE67E8" w14:paraId="0244FEB2" w14:textId="77777777" w:rsidTr="007C48B2">
        <w:trPr>
          <w:trHeight w:val="60"/>
        </w:trPr>
        <w:tc>
          <w:tcPr>
            <w:tcW w:w="9746" w:type="dxa"/>
            <w:gridSpan w:val="2"/>
            <w:tcBorders>
              <w:top w:val="dotted" w:sz="4" w:space="0" w:color="auto"/>
              <w:bottom w:val="single" w:sz="4" w:space="0" w:color="auto"/>
            </w:tcBorders>
            <w:vAlign w:val="center"/>
          </w:tcPr>
          <w:p w14:paraId="7ED4F36C" w14:textId="098664C9" w:rsidR="007C48B2" w:rsidRPr="00EE67E8" w:rsidRDefault="007C48B2" w:rsidP="007C48B2">
            <w:pPr>
              <w:spacing w:after="60"/>
              <w:rPr>
                <w:rFonts w:cstheme="minorHAnsi"/>
                <w:b/>
                <w:bCs/>
                <w:sz w:val="20"/>
                <w:szCs w:val="20"/>
              </w:rPr>
            </w:pPr>
            <w:r w:rsidRPr="00EE67E8">
              <w:rPr>
                <w:rFonts w:cstheme="minorHAnsi"/>
                <w:b/>
                <w:bCs/>
                <w:sz w:val="20"/>
                <w:szCs w:val="20"/>
              </w:rPr>
              <w:t>Common areas of operational coordination</w:t>
            </w:r>
          </w:p>
          <w:p w14:paraId="4A8B602F" w14:textId="16674B25" w:rsidR="007C48B2" w:rsidRPr="00EE67E8" w:rsidRDefault="007C48B2" w:rsidP="004969E3">
            <w:pPr>
              <w:pStyle w:val="ListParagraph"/>
              <w:numPr>
                <w:ilvl w:val="0"/>
                <w:numId w:val="8"/>
              </w:numPr>
              <w:spacing w:after="60"/>
              <w:rPr>
                <w:rFonts w:cstheme="minorHAnsi"/>
                <w:sz w:val="20"/>
                <w:szCs w:val="20"/>
              </w:rPr>
            </w:pPr>
            <w:r w:rsidRPr="00EE67E8">
              <w:rPr>
                <w:rFonts w:cstheme="minorHAnsi"/>
                <w:sz w:val="20"/>
                <w:szCs w:val="20"/>
              </w:rPr>
              <w:t>Coordinat</w:t>
            </w:r>
            <w:r w:rsidR="004C4183" w:rsidRPr="00EE67E8">
              <w:rPr>
                <w:rFonts w:cstheme="minorHAnsi"/>
                <w:sz w:val="20"/>
                <w:szCs w:val="20"/>
              </w:rPr>
              <w:t>e</w:t>
            </w:r>
            <w:r w:rsidRPr="00EE67E8">
              <w:rPr>
                <w:rFonts w:cstheme="minorHAnsi"/>
                <w:sz w:val="20"/>
                <w:szCs w:val="20"/>
              </w:rPr>
              <w:t xml:space="preserve"> who will do what, where, and when (3/4Ws), considering both geographic coverage and complementarity of responses. Where </w:t>
            </w:r>
            <w:r w:rsidR="004969E3" w:rsidRPr="00EE67E8">
              <w:rPr>
                <w:rFonts w:cstheme="minorHAnsi"/>
                <w:sz w:val="20"/>
                <w:szCs w:val="20"/>
              </w:rPr>
              <w:t>social protection</w:t>
            </w:r>
            <w:r w:rsidRPr="00EE67E8">
              <w:rPr>
                <w:rFonts w:cstheme="minorHAnsi"/>
                <w:sz w:val="20"/>
                <w:szCs w:val="20"/>
              </w:rPr>
              <w:t xml:space="preserve"> responses have wide coverage, </w:t>
            </w:r>
            <w:r w:rsidR="00A21E7F">
              <w:rPr>
                <w:rFonts w:cstheme="minorHAnsi"/>
                <w:sz w:val="20"/>
                <w:szCs w:val="20"/>
              </w:rPr>
              <w:t>humanitarian actors</w:t>
            </w:r>
            <w:r w:rsidRPr="00EE67E8">
              <w:rPr>
                <w:rFonts w:cstheme="minorHAnsi"/>
                <w:sz w:val="20"/>
                <w:szCs w:val="20"/>
              </w:rPr>
              <w:t xml:space="preserve"> may play a ‘gap filling’ role, focus on enhancing systems (e.g., supporting communications of grievance mechanism), or provide complementary interventions (e.g., livelihood recovery).</w:t>
            </w:r>
          </w:p>
          <w:p w14:paraId="5FF5BEEB" w14:textId="5042DCEC" w:rsidR="007C48B2" w:rsidRPr="00EE67E8" w:rsidRDefault="007C48B2" w:rsidP="004969E3">
            <w:pPr>
              <w:pStyle w:val="ListParagraph"/>
              <w:numPr>
                <w:ilvl w:val="0"/>
                <w:numId w:val="8"/>
              </w:numPr>
              <w:spacing w:after="60"/>
              <w:rPr>
                <w:rFonts w:cstheme="minorHAnsi"/>
                <w:sz w:val="20"/>
                <w:szCs w:val="20"/>
              </w:rPr>
            </w:pPr>
            <w:r w:rsidRPr="00EE67E8">
              <w:rPr>
                <w:rFonts w:cstheme="minorHAnsi"/>
                <w:sz w:val="20"/>
                <w:szCs w:val="20"/>
              </w:rPr>
              <w:t xml:space="preserve">Identify common or harmonised implementation mechanisms and operational linkages across programme components, such as registries and registration processes, payment systems, communications, and </w:t>
            </w:r>
            <w:r w:rsidR="00C31C98" w:rsidRPr="00EE67E8">
              <w:rPr>
                <w:rFonts w:cstheme="minorHAnsi"/>
                <w:sz w:val="20"/>
                <w:szCs w:val="20"/>
              </w:rPr>
              <w:t>grievance and redress mechanisms</w:t>
            </w:r>
            <w:r w:rsidRPr="00EE67E8">
              <w:rPr>
                <w:rFonts w:cstheme="minorHAnsi"/>
                <w:sz w:val="20"/>
                <w:szCs w:val="20"/>
              </w:rPr>
              <w:t>.</w:t>
            </w:r>
          </w:p>
          <w:p w14:paraId="2A3C41E9" w14:textId="1D819378" w:rsidR="004969E3" w:rsidRPr="00EE67E8" w:rsidRDefault="000911F5" w:rsidP="004969E3">
            <w:pPr>
              <w:pStyle w:val="ListParagraph"/>
              <w:numPr>
                <w:ilvl w:val="0"/>
                <w:numId w:val="8"/>
              </w:numPr>
              <w:spacing w:after="60"/>
              <w:rPr>
                <w:rFonts w:cstheme="minorHAnsi"/>
                <w:sz w:val="20"/>
                <w:szCs w:val="20"/>
              </w:rPr>
            </w:pPr>
            <w:r>
              <w:rPr>
                <w:rFonts w:cstheme="minorHAnsi"/>
                <w:sz w:val="20"/>
                <w:szCs w:val="20"/>
              </w:rPr>
              <w:t>Identify and a</w:t>
            </w:r>
            <w:r w:rsidR="004969E3" w:rsidRPr="00EE67E8">
              <w:rPr>
                <w:rFonts w:cstheme="minorHAnsi"/>
                <w:sz w:val="20"/>
                <w:szCs w:val="20"/>
              </w:rPr>
              <w:t>gree data interoperability needs among agencies and government bodies involved in the response and develop data sharing agreements</w:t>
            </w:r>
            <w:r w:rsidR="00FA2762">
              <w:rPr>
                <w:rFonts w:cstheme="minorHAnsi"/>
                <w:sz w:val="20"/>
                <w:szCs w:val="20"/>
              </w:rPr>
              <w:t xml:space="preserve"> where required</w:t>
            </w:r>
            <w:r w:rsidR="004969E3" w:rsidRPr="00EE67E8">
              <w:rPr>
                <w:rFonts w:cstheme="minorHAnsi"/>
                <w:sz w:val="20"/>
                <w:szCs w:val="20"/>
              </w:rPr>
              <w:t>.</w:t>
            </w:r>
          </w:p>
          <w:p w14:paraId="567C869C" w14:textId="1BF8D837" w:rsidR="007C48B2" w:rsidRPr="00EE67E8" w:rsidRDefault="004969E3" w:rsidP="007C48B2">
            <w:pPr>
              <w:pStyle w:val="ListParagraph"/>
              <w:numPr>
                <w:ilvl w:val="0"/>
                <w:numId w:val="8"/>
              </w:numPr>
              <w:spacing w:after="60"/>
              <w:rPr>
                <w:rFonts w:cstheme="minorHAnsi"/>
                <w:sz w:val="20"/>
                <w:szCs w:val="20"/>
              </w:rPr>
            </w:pPr>
            <w:r w:rsidRPr="00EE67E8">
              <w:rPr>
                <w:rFonts w:cstheme="minorHAnsi"/>
                <w:sz w:val="20"/>
                <w:szCs w:val="20"/>
              </w:rPr>
              <w:t>Creat</w:t>
            </w:r>
            <w:r w:rsidR="004C4183" w:rsidRPr="00EE67E8">
              <w:rPr>
                <w:rFonts w:cstheme="minorHAnsi"/>
                <w:sz w:val="20"/>
                <w:szCs w:val="20"/>
              </w:rPr>
              <w:t>e</w:t>
            </w:r>
            <w:r w:rsidRPr="00EE67E8">
              <w:rPr>
                <w:rFonts w:cstheme="minorHAnsi"/>
                <w:sz w:val="20"/>
                <w:szCs w:val="20"/>
              </w:rPr>
              <w:t xml:space="preserve"> adequate referral pathways across cash transfer projects </w:t>
            </w:r>
            <w:r w:rsidR="004C4183" w:rsidRPr="00EE67E8">
              <w:rPr>
                <w:rFonts w:cstheme="minorHAnsi"/>
                <w:sz w:val="20"/>
                <w:szCs w:val="20"/>
              </w:rPr>
              <w:t>with</w:t>
            </w:r>
            <w:r w:rsidRPr="00EE67E8">
              <w:rPr>
                <w:rFonts w:cstheme="minorHAnsi"/>
                <w:sz w:val="20"/>
                <w:szCs w:val="20"/>
              </w:rPr>
              <w:t xml:space="preserve"> different objectives </w:t>
            </w:r>
            <w:r w:rsidR="00973BCD" w:rsidRPr="00EE67E8">
              <w:rPr>
                <w:rFonts w:cstheme="minorHAnsi"/>
                <w:sz w:val="20"/>
                <w:szCs w:val="20"/>
              </w:rPr>
              <w:t xml:space="preserve">and with other sector responses </w:t>
            </w:r>
            <w:r w:rsidRPr="00EE67E8">
              <w:rPr>
                <w:rFonts w:cstheme="minorHAnsi"/>
                <w:sz w:val="20"/>
                <w:szCs w:val="20"/>
              </w:rPr>
              <w:t>to ensure wider coverage of needs.</w:t>
            </w:r>
          </w:p>
        </w:tc>
      </w:tr>
      <w:bookmarkEnd w:id="1"/>
      <w:tr w:rsidR="007C48B2" w:rsidRPr="00EE67E8" w14:paraId="3BE7478A" w14:textId="77777777" w:rsidTr="007C48B2">
        <w:trPr>
          <w:trHeight w:val="454"/>
        </w:trPr>
        <w:tc>
          <w:tcPr>
            <w:tcW w:w="9746" w:type="dxa"/>
            <w:gridSpan w:val="2"/>
            <w:tcBorders>
              <w:left w:val="nil"/>
              <w:right w:val="nil"/>
            </w:tcBorders>
          </w:tcPr>
          <w:p w14:paraId="05B2EAD3" w14:textId="08462EDC" w:rsidR="007C48B2" w:rsidRPr="00EE67E8" w:rsidRDefault="004C4183" w:rsidP="004C4183">
            <w:pPr>
              <w:spacing w:before="240" w:after="60"/>
              <w:rPr>
                <w:rFonts w:cstheme="minorHAnsi"/>
                <w:sz w:val="20"/>
                <w:szCs w:val="20"/>
                <w:u w:val="single"/>
              </w:rPr>
            </w:pPr>
            <w:r w:rsidRPr="00424455">
              <w:rPr>
                <w:rFonts w:cstheme="minorHAnsi"/>
                <w:b/>
                <w:bCs/>
                <w:color w:val="2E74B5" w:themeColor="accent5" w:themeShade="BF"/>
              </w:rPr>
              <w:t xml:space="preserve">5. </w:t>
            </w:r>
            <w:r w:rsidR="007C48B2" w:rsidRPr="00424455">
              <w:rPr>
                <w:rFonts w:cstheme="minorHAnsi"/>
                <w:b/>
                <w:bCs/>
                <w:color w:val="2E74B5" w:themeColor="accent5" w:themeShade="BF"/>
              </w:rPr>
              <w:t>Key Contacts</w:t>
            </w:r>
            <w:r w:rsidR="004B27B4" w:rsidRPr="00424455">
              <w:rPr>
                <w:rFonts w:cstheme="minorHAnsi"/>
                <w:b/>
                <w:bCs/>
                <w:color w:val="2E74B5" w:themeColor="accent5" w:themeShade="BF"/>
              </w:rPr>
              <w:t xml:space="preserve"> in the Social Policy and Social Protection Programme Group Team</w:t>
            </w:r>
          </w:p>
        </w:tc>
      </w:tr>
      <w:tr w:rsidR="007C48B2" w:rsidRPr="00EE67E8" w14:paraId="6E1BEEA5" w14:textId="77777777" w:rsidTr="007C48B2">
        <w:trPr>
          <w:trHeight w:val="454"/>
        </w:trPr>
        <w:tc>
          <w:tcPr>
            <w:tcW w:w="9746" w:type="dxa"/>
            <w:gridSpan w:val="2"/>
          </w:tcPr>
          <w:p w14:paraId="0AEEADFE" w14:textId="77777777" w:rsidR="00EE67E8" w:rsidRPr="00A668E1" w:rsidRDefault="00EE67E8" w:rsidP="00EE67E8">
            <w:pPr>
              <w:spacing w:before="60" w:after="60"/>
              <w:rPr>
                <w:rFonts w:cstheme="minorHAnsi"/>
                <w:sz w:val="20"/>
                <w:szCs w:val="20"/>
              </w:rPr>
            </w:pPr>
            <w:r w:rsidRPr="00A668E1">
              <w:rPr>
                <w:rFonts w:cstheme="minorHAnsi"/>
                <w:sz w:val="20"/>
                <w:szCs w:val="20"/>
              </w:rPr>
              <w:t xml:space="preserve">Policy Specialist, Shock Responsive Social Protection – Nupur Kukrety </w:t>
            </w:r>
            <w:hyperlink r:id="rId19" w:history="1">
              <w:r w:rsidRPr="00A668E1">
                <w:rPr>
                  <w:rStyle w:val="Hyperlink"/>
                  <w:rFonts w:cstheme="minorHAnsi"/>
                  <w:sz w:val="20"/>
                  <w:szCs w:val="20"/>
                </w:rPr>
                <w:t>nkukrety@unicef.org</w:t>
              </w:r>
            </w:hyperlink>
            <w:r w:rsidRPr="00A668E1">
              <w:rPr>
                <w:rFonts w:cstheme="minorHAnsi"/>
                <w:sz w:val="20"/>
                <w:szCs w:val="20"/>
              </w:rPr>
              <w:t>.</w:t>
            </w:r>
          </w:p>
          <w:p w14:paraId="4C1911AC" w14:textId="77777777" w:rsidR="00EE67E8" w:rsidRPr="00A668E1" w:rsidRDefault="00EE67E8" w:rsidP="00EE67E8">
            <w:pPr>
              <w:spacing w:before="60" w:after="60"/>
              <w:rPr>
                <w:rFonts w:cstheme="minorHAnsi"/>
                <w:sz w:val="20"/>
                <w:szCs w:val="20"/>
              </w:rPr>
            </w:pPr>
            <w:r w:rsidRPr="00A668E1">
              <w:rPr>
                <w:rFonts w:cstheme="minorHAnsi"/>
                <w:sz w:val="20"/>
                <w:szCs w:val="20"/>
              </w:rPr>
              <w:t xml:space="preserve">Humanitarian Cash Transfer Coordinator – Claire Mariani </w:t>
            </w:r>
            <w:hyperlink r:id="rId20" w:history="1">
              <w:r w:rsidRPr="00A668E1">
                <w:rPr>
                  <w:rStyle w:val="Hyperlink"/>
                  <w:rFonts w:cstheme="minorHAnsi"/>
                  <w:sz w:val="20"/>
                  <w:szCs w:val="20"/>
                </w:rPr>
                <w:t>cmariani@unicef.org</w:t>
              </w:r>
            </w:hyperlink>
            <w:r w:rsidRPr="00A668E1">
              <w:rPr>
                <w:rFonts w:cstheme="minorHAnsi"/>
                <w:sz w:val="20"/>
                <w:szCs w:val="20"/>
              </w:rPr>
              <w:t>.</w:t>
            </w:r>
          </w:p>
          <w:p w14:paraId="748A062D" w14:textId="4AB97606" w:rsidR="007C48B2" w:rsidRPr="00EE67E8" w:rsidRDefault="00EE67E8" w:rsidP="00A51673">
            <w:pPr>
              <w:spacing w:before="60" w:after="60"/>
              <w:rPr>
                <w:rFonts w:cstheme="minorHAnsi"/>
                <w:sz w:val="20"/>
                <w:szCs w:val="20"/>
              </w:rPr>
            </w:pPr>
            <w:r w:rsidRPr="00A668E1">
              <w:rPr>
                <w:rFonts w:cstheme="minorHAnsi"/>
                <w:sz w:val="20"/>
                <w:szCs w:val="20"/>
              </w:rPr>
              <w:t xml:space="preserve">HQ Inter Division HCT Team: Use the </w:t>
            </w:r>
            <w:hyperlink r:id="rId21" w:history="1">
              <w:r w:rsidRPr="00A668E1">
                <w:rPr>
                  <w:rStyle w:val="Hyperlink"/>
                  <w:rFonts w:cstheme="minorHAnsi"/>
                  <w:sz w:val="20"/>
                  <w:szCs w:val="20"/>
                </w:rPr>
                <w:t>One-Stop-Shop</w:t>
              </w:r>
            </w:hyperlink>
            <w:r w:rsidRPr="00A668E1">
              <w:rPr>
                <w:rFonts w:cstheme="minorHAnsi"/>
                <w:sz w:val="20"/>
                <w:szCs w:val="20"/>
              </w:rPr>
              <w:t xml:space="preserve"> to request regional or country level programmatic and operational support.</w:t>
            </w:r>
          </w:p>
        </w:tc>
      </w:tr>
    </w:tbl>
    <w:p w14:paraId="78928872" w14:textId="54CDF655" w:rsidR="00761CEF" w:rsidRDefault="00761CEF" w:rsidP="002E2B15"/>
    <w:sectPr w:rsidR="00761CEF" w:rsidSect="0030233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8BEA5" w14:textId="77777777" w:rsidR="002214EC" w:rsidRDefault="002214EC" w:rsidP="001C09C9">
      <w:pPr>
        <w:spacing w:after="0" w:line="240" w:lineRule="auto"/>
      </w:pPr>
      <w:r>
        <w:separator/>
      </w:r>
    </w:p>
  </w:endnote>
  <w:endnote w:type="continuationSeparator" w:id="0">
    <w:p w14:paraId="1D5EE3FC" w14:textId="77777777" w:rsidR="002214EC" w:rsidRDefault="002214EC" w:rsidP="001C0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UniversCE-Light">
    <w:altName w:val="游ゴシック"/>
    <w:charset w:val="80"/>
    <w:family w:val="auto"/>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2E8FC" w14:textId="77777777" w:rsidR="002214EC" w:rsidRDefault="002214EC" w:rsidP="001C09C9">
      <w:pPr>
        <w:spacing w:after="0" w:line="240" w:lineRule="auto"/>
      </w:pPr>
      <w:r>
        <w:separator/>
      </w:r>
    </w:p>
  </w:footnote>
  <w:footnote w:type="continuationSeparator" w:id="0">
    <w:p w14:paraId="5CD5E413" w14:textId="77777777" w:rsidR="002214EC" w:rsidRDefault="002214EC" w:rsidP="001C09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27EE"/>
    <w:multiLevelType w:val="hybridMultilevel"/>
    <w:tmpl w:val="1C66DE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342C82"/>
    <w:multiLevelType w:val="hybridMultilevel"/>
    <w:tmpl w:val="5C860AF0"/>
    <w:lvl w:ilvl="0" w:tplc="44C228E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C97B43"/>
    <w:multiLevelType w:val="hybridMultilevel"/>
    <w:tmpl w:val="09AAFEE8"/>
    <w:lvl w:ilvl="0" w:tplc="44C228E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E302F6"/>
    <w:multiLevelType w:val="hybridMultilevel"/>
    <w:tmpl w:val="9A228508"/>
    <w:lvl w:ilvl="0" w:tplc="842E72FC">
      <w:start w:val="3"/>
      <w:numFmt w:val="bullet"/>
      <w:lvlText w:val=""/>
      <w:lvlJc w:val="left"/>
      <w:pPr>
        <w:ind w:left="360" w:hanging="360"/>
      </w:pPr>
      <w:rPr>
        <w:rFonts w:ascii="Wingdings" w:eastAsiaTheme="minorEastAsia" w:hAnsi="Wingdings"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204241AC"/>
    <w:multiLevelType w:val="hybridMultilevel"/>
    <w:tmpl w:val="5C2C867E"/>
    <w:lvl w:ilvl="0" w:tplc="44C228E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0D30AF"/>
    <w:multiLevelType w:val="hybridMultilevel"/>
    <w:tmpl w:val="D62C1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8B2C16"/>
    <w:multiLevelType w:val="hybridMultilevel"/>
    <w:tmpl w:val="ED5699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7960B6"/>
    <w:multiLevelType w:val="hybridMultilevel"/>
    <w:tmpl w:val="FCAA88F4"/>
    <w:lvl w:ilvl="0" w:tplc="44C228E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7F3507"/>
    <w:multiLevelType w:val="hybridMultilevel"/>
    <w:tmpl w:val="3424B566"/>
    <w:lvl w:ilvl="0" w:tplc="44C228E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19F2A0D"/>
    <w:multiLevelType w:val="hybridMultilevel"/>
    <w:tmpl w:val="D8DAE100"/>
    <w:lvl w:ilvl="0" w:tplc="44C228E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903C58"/>
    <w:multiLevelType w:val="hybridMultilevel"/>
    <w:tmpl w:val="77C41AF4"/>
    <w:lvl w:ilvl="0" w:tplc="44C228E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5B53E68"/>
    <w:multiLevelType w:val="hybridMultilevel"/>
    <w:tmpl w:val="CBE6E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6E3B65"/>
    <w:multiLevelType w:val="hybridMultilevel"/>
    <w:tmpl w:val="3D6E248E"/>
    <w:lvl w:ilvl="0" w:tplc="842E72FC">
      <w:start w:val="3"/>
      <w:numFmt w:val="bullet"/>
      <w:lvlText w:val=""/>
      <w:lvlJc w:val="left"/>
      <w:pPr>
        <w:ind w:left="360" w:hanging="360"/>
      </w:pPr>
      <w:rPr>
        <w:rFonts w:ascii="Wingdings" w:eastAsiaTheme="minorEastAsia"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69F1F69"/>
    <w:multiLevelType w:val="hybridMultilevel"/>
    <w:tmpl w:val="48DA43C2"/>
    <w:lvl w:ilvl="0" w:tplc="842E72FC">
      <w:start w:val="3"/>
      <w:numFmt w:val="bullet"/>
      <w:lvlText w:val=""/>
      <w:lvlJc w:val="left"/>
      <w:pPr>
        <w:ind w:left="360" w:hanging="360"/>
      </w:pPr>
      <w:rPr>
        <w:rFonts w:ascii="Wingdings" w:eastAsiaTheme="minorEastAsia" w:hAnsi="Wingdings"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3638B7"/>
    <w:multiLevelType w:val="hybridMultilevel"/>
    <w:tmpl w:val="E214C1B4"/>
    <w:lvl w:ilvl="0" w:tplc="44C228E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8E31C0C"/>
    <w:multiLevelType w:val="hybridMultilevel"/>
    <w:tmpl w:val="99C21C7A"/>
    <w:lvl w:ilvl="0" w:tplc="842E72FC">
      <w:start w:val="3"/>
      <w:numFmt w:val="bullet"/>
      <w:lvlText w:val=""/>
      <w:lvlJc w:val="left"/>
      <w:pPr>
        <w:ind w:left="360" w:hanging="360"/>
      </w:pPr>
      <w:rPr>
        <w:rFonts w:ascii="Wingdings" w:eastAsiaTheme="minorEastAsia" w:hAnsi="Wingdings"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AD0AA0"/>
    <w:multiLevelType w:val="hybridMultilevel"/>
    <w:tmpl w:val="953208F4"/>
    <w:lvl w:ilvl="0" w:tplc="44C228E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2"/>
  </w:num>
  <w:num w:numId="3">
    <w:abstractNumId w:val="11"/>
  </w:num>
  <w:num w:numId="4">
    <w:abstractNumId w:val="0"/>
  </w:num>
  <w:num w:numId="5">
    <w:abstractNumId w:val="3"/>
  </w:num>
  <w:num w:numId="6">
    <w:abstractNumId w:val="13"/>
  </w:num>
  <w:num w:numId="7">
    <w:abstractNumId w:val="8"/>
  </w:num>
  <w:num w:numId="8">
    <w:abstractNumId w:val="10"/>
  </w:num>
  <w:num w:numId="9">
    <w:abstractNumId w:val="9"/>
  </w:num>
  <w:num w:numId="10">
    <w:abstractNumId w:val="1"/>
  </w:num>
  <w:num w:numId="11">
    <w:abstractNumId w:val="16"/>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4"/>
  </w:num>
  <w:num w:numId="15">
    <w:abstractNumId w:val="2"/>
  </w:num>
  <w:num w:numId="16">
    <w:abstractNumId w:val="14"/>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79"/>
    <w:rsid w:val="00003E6F"/>
    <w:rsid w:val="0000426E"/>
    <w:rsid w:val="00005579"/>
    <w:rsid w:val="000162DC"/>
    <w:rsid w:val="00024CBE"/>
    <w:rsid w:val="00032FFE"/>
    <w:rsid w:val="00034DA6"/>
    <w:rsid w:val="00035ECB"/>
    <w:rsid w:val="00047027"/>
    <w:rsid w:val="00053CCB"/>
    <w:rsid w:val="00054C16"/>
    <w:rsid w:val="00057863"/>
    <w:rsid w:val="000673B9"/>
    <w:rsid w:val="000712A0"/>
    <w:rsid w:val="00072478"/>
    <w:rsid w:val="00085435"/>
    <w:rsid w:val="000911F5"/>
    <w:rsid w:val="0009179A"/>
    <w:rsid w:val="00092477"/>
    <w:rsid w:val="00094379"/>
    <w:rsid w:val="000A29AE"/>
    <w:rsid w:val="000B4113"/>
    <w:rsid w:val="000B47A9"/>
    <w:rsid w:val="000B47E8"/>
    <w:rsid w:val="000B6A6F"/>
    <w:rsid w:val="000B77B1"/>
    <w:rsid w:val="000C3A70"/>
    <w:rsid w:val="000C4D30"/>
    <w:rsid w:val="000F0FD8"/>
    <w:rsid w:val="000F2E08"/>
    <w:rsid w:val="000F3B3C"/>
    <w:rsid w:val="000F47C8"/>
    <w:rsid w:val="00104B0F"/>
    <w:rsid w:val="00107C9D"/>
    <w:rsid w:val="001153FD"/>
    <w:rsid w:val="0011579F"/>
    <w:rsid w:val="00120B4E"/>
    <w:rsid w:val="001316AF"/>
    <w:rsid w:val="00156A3C"/>
    <w:rsid w:val="001603F3"/>
    <w:rsid w:val="0017358D"/>
    <w:rsid w:val="00176439"/>
    <w:rsid w:val="00190336"/>
    <w:rsid w:val="001A0145"/>
    <w:rsid w:val="001B57BF"/>
    <w:rsid w:val="001C09C9"/>
    <w:rsid w:val="001C7DEB"/>
    <w:rsid w:val="001D65E3"/>
    <w:rsid w:val="001D6C12"/>
    <w:rsid w:val="001D79F9"/>
    <w:rsid w:val="001E1EA7"/>
    <w:rsid w:val="001E709B"/>
    <w:rsid w:val="001F1C14"/>
    <w:rsid w:val="00207255"/>
    <w:rsid w:val="00212268"/>
    <w:rsid w:val="00220447"/>
    <w:rsid w:val="002214EC"/>
    <w:rsid w:val="00225A1F"/>
    <w:rsid w:val="0024124E"/>
    <w:rsid w:val="00241D29"/>
    <w:rsid w:val="00250F96"/>
    <w:rsid w:val="002517D9"/>
    <w:rsid w:val="00256443"/>
    <w:rsid w:val="00263BE6"/>
    <w:rsid w:val="002754CD"/>
    <w:rsid w:val="002863D4"/>
    <w:rsid w:val="002A531F"/>
    <w:rsid w:val="002A7CDC"/>
    <w:rsid w:val="002C2E15"/>
    <w:rsid w:val="002C7F47"/>
    <w:rsid w:val="002D26C2"/>
    <w:rsid w:val="002D6F3C"/>
    <w:rsid w:val="002E2B15"/>
    <w:rsid w:val="002E6421"/>
    <w:rsid w:val="002F5957"/>
    <w:rsid w:val="0030233C"/>
    <w:rsid w:val="00304E23"/>
    <w:rsid w:val="00305361"/>
    <w:rsid w:val="00305E4B"/>
    <w:rsid w:val="00306081"/>
    <w:rsid w:val="00316125"/>
    <w:rsid w:val="003175EB"/>
    <w:rsid w:val="003312CF"/>
    <w:rsid w:val="00331927"/>
    <w:rsid w:val="003327A2"/>
    <w:rsid w:val="00337286"/>
    <w:rsid w:val="00346545"/>
    <w:rsid w:val="00362956"/>
    <w:rsid w:val="003775D0"/>
    <w:rsid w:val="003A2B79"/>
    <w:rsid w:val="003C0F0E"/>
    <w:rsid w:val="003C2B29"/>
    <w:rsid w:val="003C4DA9"/>
    <w:rsid w:val="003C633F"/>
    <w:rsid w:val="00424455"/>
    <w:rsid w:val="00432939"/>
    <w:rsid w:val="00441113"/>
    <w:rsid w:val="0045210A"/>
    <w:rsid w:val="0045585F"/>
    <w:rsid w:val="00462D07"/>
    <w:rsid w:val="00473CD1"/>
    <w:rsid w:val="004856F8"/>
    <w:rsid w:val="004969E3"/>
    <w:rsid w:val="004A1151"/>
    <w:rsid w:val="004B27B4"/>
    <w:rsid w:val="004C4183"/>
    <w:rsid w:val="004D48FC"/>
    <w:rsid w:val="004E1200"/>
    <w:rsid w:val="00500BC3"/>
    <w:rsid w:val="005224B6"/>
    <w:rsid w:val="0053266B"/>
    <w:rsid w:val="00540DE2"/>
    <w:rsid w:val="00554A05"/>
    <w:rsid w:val="00577FC7"/>
    <w:rsid w:val="00583A76"/>
    <w:rsid w:val="005A149F"/>
    <w:rsid w:val="005A66D6"/>
    <w:rsid w:val="005B4336"/>
    <w:rsid w:val="005C169D"/>
    <w:rsid w:val="005C3317"/>
    <w:rsid w:val="005D278F"/>
    <w:rsid w:val="005D5431"/>
    <w:rsid w:val="005F1E02"/>
    <w:rsid w:val="005F1F64"/>
    <w:rsid w:val="005F4C3F"/>
    <w:rsid w:val="00604E61"/>
    <w:rsid w:val="006121C4"/>
    <w:rsid w:val="0061647C"/>
    <w:rsid w:val="006246B0"/>
    <w:rsid w:val="00636E56"/>
    <w:rsid w:val="00640C04"/>
    <w:rsid w:val="00643F9C"/>
    <w:rsid w:val="00653C7C"/>
    <w:rsid w:val="0065782C"/>
    <w:rsid w:val="00657EC2"/>
    <w:rsid w:val="006665AD"/>
    <w:rsid w:val="006825ED"/>
    <w:rsid w:val="00684E10"/>
    <w:rsid w:val="00690319"/>
    <w:rsid w:val="006A144D"/>
    <w:rsid w:val="006A36B2"/>
    <w:rsid w:val="006B1568"/>
    <w:rsid w:val="006B63EE"/>
    <w:rsid w:val="006B7C15"/>
    <w:rsid w:val="006C01A8"/>
    <w:rsid w:val="006C73D5"/>
    <w:rsid w:val="006D131D"/>
    <w:rsid w:val="006D26EF"/>
    <w:rsid w:val="006D43C4"/>
    <w:rsid w:val="006D7F53"/>
    <w:rsid w:val="00755EB7"/>
    <w:rsid w:val="00761CEF"/>
    <w:rsid w:val="00767818"/>
    <w:rsid w:val="00790EAA"/>
    <w:rsid w:val="00795A16"/>
    <w:rsid w:val="007A1201"/>
    <w:rsid w:val="007A660A"/>
    <w:rsid w:val="007A7E7A"/>
    <w:rsid w:val="007B5A4D"/>
    <w:rsid w:val="007C02B5"/>
    <w:rsid w:val="007C48B2"/>
    <w:rsid w:val="007D13A4"/>
    <w:rsid w:val="007D673C"/>
    <w:rsid w:val="007E1D57"/>
    <w:rsid w:val="007E5F1E"/>
    <w:rsid w:val="0081147D"/>
    <w:rsid w:val="00815435"/>
    <w:rsid w:val="00816E70"/>
    <w:rsid w:val="00817C55"/>
    <w:rsid w:val="0084451B"/>
    <w:rsid w:val="00852A6D"/>
    <w:rsid w:val="00856C3B"/>
    <w:rsid w:val="0086110C"/>
    <w:rsid w:val="008652A4"/>
    <w:rsid w:val="008732E9"/>
    <w:rsid w:val="00892204"/>
    <w:rsid w:val="008B428C"/>
    <w:rsid w:val="008C4FF0"/>
    <w:rsid w:val="008E1582"/>
    <w:rsid w:val="00902C87"/>
    <w:rsid w:val="0090395A"/>
    <w:rsid w:val="0090751E"/>
    <w:rsid w:val="009307C3"/>
    <w:rsid w:val="00950011"/>
    <w:rsid w:val="009552F9"/>
    <w:rsid w:val="0095550F"/>
    <w:rsid w:val="00973BCD"/>
    <w:rsid w:val="00985F42"/>
    <w:rsid w:val="009A5F48"/>
    <w:rsid w:val="009B49B2"/>
    <w:rsid w:val="009C4AB4"/>
    <w:rsid w:val="009C4B06"/>
    <w:rsid w:val="009E4E51"/>
    <w:rsid w:val="009F6E99"/>
    <w:rsid w:val="00A21E7F"/>
    <w:rsid w:val="00A31840"/>
    <w:rsid w:val="00A5329A"/>
    <w:rsid w:val="00A5610F"/>
    <w:rsid w:val="00A63F7C"/>
    <w:rsid w:val="00A665FF"/>
    <w:rsid w:val="00A67F28"/>
    <w:rsid w:val="00A74CFC"/>
    <w:rsid w:val="00A80109"/>
    <w:rsid w:val="00A94434"/>
    <w:rsid w:val="00AA3075"/>
    <w:rsid w:val="00AB0E3A"/>
    <w:rsid w:val="00AB7F3C"/>
    <w:rsid w:val="00AC64C2"/>
    <w:rsid w:val="00AF363D"/>
    <w:rsid w:val="00B06A95"/>
    <w:rsid w:val="00B10FC4"/>
    <w:rsid w:val="00B21E97"/>
    <w:rsid w:val="00B2626F"/>
    <w:rsid w:val="00B42851"/>
    <w:rsid w:val="00B4768F"/>
    <w:rsid w:val="00B552B5"/>
    <w:rsid w:val="00B56155"/>
    <w:rsid w:val="00B74D72"/>
    <w:rsid w:val="00B96310"/>
    <w:rsid w:val="00BC2013"/>
    <w:rsid w:val="00BC3F8F"/>
    <w:rsid w:val="00BD03C8"/>
    <w:rsid w:val="00BE1B75"/>
    <w:rsid w:val="00BE6030"/>
    <w:rsid w:val="00BF4168"/>
    <w:rsid w:val="00C046A5"/>
    <w:rsid w:val="00C11BEE"/>
    <w:rsid w:val="00C14EB8"/>
    <w:rsid w:val="00C24ACA"/>
    <w:rsid w:val="00C31C98"/>
    <w:rsid w:val="00C42048"/>
    <w:rsid w:val="00C4302A"/>
    <w:rsid w:val="00C4450C"/>
    <w:rsid w:val="00C4740B"/>
    <w:rsid w:val="00C57565"/>
    <w:rsid w:val="00C71B54"/>
    <w:rsid w:val="00CA11D7"/>
    <w:rsid w:val="00CB7405"/>
    <w:rsid w:val="00CC3CC4"/>
    <w:rsid w:val="00CE4F40"/>
    <w:rsid w:val="00CE6C9C"/>
    <w:rsid w:val="00CF6690"/>
    <w:rsid w:val="00D07B8C"/>
    <w:rsid w:val="00D1790B"/>
    <w:rsid w:val="00D3100F"/>
    <w:rsid w:val="00D645D6"/>
    <w:rsid w:val="00D75BCA"/>
    <w:rsid w:val="00D826F7"/>
    <w:rsid w:val="00D83C27"/>
    <w:rsid w:val="00D90A15"/>
    <w:rsid w:val="00D96CF1"/>
    <w:rsid w:val="00DB1135"/>
    <w:rsid w:val="00DB4437"/>
    <w:rsid w:val="00DD4DBE"/>
    <w:rsid w:val="00DE46D2"/>
    <w:rsid w:val="00DE66E2"/>
    <w:rsid w:val="00DE7A39"/>
    <w:rsid w:val="00DF4AC8"/>
    <w:rsid w:val="00DF4BBD"/>
    <w:rsid w:val="00DF4CBD"/>
    <w:rsid w:val="00E036A6"/>
    <w:rsid w:val="00E12FCB"/>
    <w:rsid w:val="00E31156"/>
    <w:rsid w:val="00E334A9"/>
    <w:rsid w:val="00E44EC3"/>
    <w:rsid w:val="00E607D0"/>
    <w:rsid w:val="00E63698"/>
    <w:rsid w:val="00E7796B"/>
    <w:rsid w:val="00E9335B"/>
    <w:rsid w:val="00EB6594"/>
    <w:rsid w:val="00EE67E8"/>
    <w:rsid w:val="00EF7D24"/>
    <w:rsid w:val="00F56511"/>
    <w:rsid w:val="00F705E6"/>
    <w:rsid w:val="00F81E59"/>
    <w:rsid w:val="00F839C1"/>
    <w:rsid w:val="00F9442F"/>
    <w:rsid w:val="00F963FD"/>
    <w:rsid w:val="00F97776"/>
    <w:rsid w:val="00FA2762"/>
    <w:rsid w:val="00FA5322"/>
    <w:rsid w:val="00FE280E"/>
    <w:rsid w:val="00FF2A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D1EC"/>
  <w15:docId w15:val="{614D7E0C-AB98-4162-8D44-51497736A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85F"/>
    <w:pPr>
      <w:ind w:left="720"/>
      <w:contextualSpacing/>
    </w:pPr>
  </w:style>
  <w:style w:type="paragraph" w:styleId="FootnoteText">
    <w:name w:val="footnote text"/>
    <w:basedOn w:val="Normal"/>
    <w:link w:val="FootnoteTextChar"/>
    <w:uiPriority w:val="99"/>
    <w:semiHidden/>
    <w:unhideWhenUsed/>
    <w:rsid w:val="001C09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09C9"/>
    <w:rPr>
      <w:sz w:val="20"/>
      <w:szCs w:val="20"/>
    </w:rPr>
  </w:style>
  <w:style w:type="character" w:styleId="FootnoteReference">
    <w:name w:val="footnote reference"/>
    <w:basedOn w:val="DefaultParagraphFont"/>
    <w:uiPriority w:val="99"/>
    <w:semiHidden/>
    <w:unhideWhenUsed/>
    <w:rsid w:val="001C09C9"/>
    <w:rPr>
      <w:vertAlign w:val="superscript"/>
    </w:rPr>
  </w:style>
  <w:style w:type="character" w:styleId="CommentReference">
    <w:name w:val="annotation reference"/>
    <w:basedOn w:val="DefaultParagraphFont"/>
    <w:uiPriority w:val="99"/>
    <w:semiHidden/>
    <w:unhideWhenUsed/>
    <w:rsid w:val="004A1151"/>
    <w:rPr>
      <w:sz w:val="16"/>
      <w:szCs w:val="16"/>
    </w:rPr>
  </w:style>
  <w:style w:type="paragraph" w:styleId="CommentText">
    <w:name w:val="annotation text"/>
    <w:basedOn w:val="Normal"/>
    <w:link w:val="CommentTextChar"/>
    <w:uiPriority w:val="99"/>
    <w:semiHidden/>
    <w:unhideWhenUsed/>
    <w:rsid w:val="004A1151"/>
    <w:pPr>
      <w:spacing w:line="240" w:lineRule="auto"/>
    </w:pPr>
    <w:rPr>
      <w:sz w:val="20"/>
      <w:szCs w:val="20"/>
    </w:rPr>
  </w:style>
  <w:style w:type="character" w:customStyle="1" w:styleId="CommentTextChar">
    <w:name w:val="Comment Text Char"/>
    <w:basedOn w:val="DefaultParagraphFont"/>
    <w:link w:val="CommentText"/>
    <w:uiPriority w:val="99"/>
    <w:semiHidden/>
    <w:rsid w:val="004A1151"/>
    <w:rPr>
      <w:sz w:val="20"/>
      <w:szCs w:val="20"/>
    </w:rPr>
  </w:style>
  <w:style w:type="paragraph" w:styleId="CommentSubject">
    <w:name w:val="annotation subject"/>
    <w:basedOn w:val="CommentText"/>
    <w:next w:val="CommentText"/>
    <w:link w:val="CommentSubjectChar"/>
    <w:uiPriority w:val="99"/>
    <w:semiHidden/>
    <w:unhideWhenUsed/>
    <w:rsid w:val="004A1151"/>
    <w:rPr>
      <w:b/>
      <w:bCs/>
    </w:rPr>
  </w:style>
  <w:style w:type="character" w:customStyle="1" w:styleId="CommentSubjectChar">
    <w:name w:val="Comment Subject Char"/>
    <w:basedOn w:val="CommentTextChar"/>
    <w:link w:val="CommentSubject"/>
    <w:uiPriority w:val="99"/>
    <w:semiHidden/>
    <w:rsid w:val="004A1151"/>
    <w:rPr>
      <w:b/>
      <w:bCs/>
      <w:sz w:val="20"/>
      <w:szCs w:val="20"/>
    </w:rPr>
  </w:style>
  <w:style w:type="paragraph" w:customStyle="1" w:styleId="font8">
    <w:name w:val="font_8"/>
    <w:basedOn w:val="Normal"/>
    <w:rsid w:val="003175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79F9"/>
    <w:rPr>
      <w:color w:val="0563C1" w:themeColor="hyperlink"/>
      <w:u w:val="single"/>
    </w:rPr>
  </w:style>
  <w:style w:type="character" w:styleId="UnresolvedMention">
    <w:name w:val="Unresolved Mention"/>
    <w:basedOn w:val="DefaultParagraphFont"/>
    <w:uiPriority w:val="99"/>
    <w:semiHidden/>
    <w:unhideWhenUsed/>
    <w:rsid w:val="001D79F9"/>
    <w:rPr>
      <w:color w:val="605E5C"/>
      <w:shd w:val="clear" w:color="auto" w:fill="E1DFDD"/>
    </w:rPr>
  </w:style>
  <w:style w:type="character" w:styleId="FollowedHyperlink">
    <w:name w:val="FollowedHyperlink"/>
    <w:basedOn w:val="DefaultParagraphFont"/>
    <w:uiPriority w:val="99"/>
    <w:semiHidden/>
    <w:unhideWhenUsed/>
    <w:rsid w:val="00E036A6"/>
    <w:rPr>
      <w:color w:val="954F72" w:themeColor="followedHyperlink"/>
      <w:u w:val="single"/>
    </w:rPr>
  </w:style>
  <w:style w:type="table" w:styleId="TableGrid">
    <w:name w:val="Table Grid"/>
    <w:basedOn w:val="TableNormal"/>
    <w:uiPriority w:val="39"/>
    <w:rsid w:val="00131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66E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12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1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0890943">
      <w:bodyDiv w:val="1"/>
      <w:marLeft w:val="0"/>
      <w:marRight w:val="0"/>
      <w:marTop w:val="0"/>
      <w:marBottom w:val="0"/>
      <w:divBdr>
        <w:top w:val="none" w:sz="0" w:space="0" w:color="auto"/>
        <w:left w:val="none" w:sz="0" w:space="0" w:color="auto"/>
        <w:bottom w:val="none" w:sz="0" w:space="0" w:color="auto"/>
        <w:right w:val="none" w:sz="0" w:space="0" w:color="auto"/>
      </w:divBdr>
    </w:div>
    <w:div w:id="1944191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icef.sharepoint.com/teams/PD-SocialProtection/Building%20and%20strengthening%20national%20shock%20responsive%20social%20protection%20systems/Forms/AllItems.aspx?id=%2Fteams%2FPD%2DSocialProtection%2FBuilding%20and%20strengthening%20national%20shock%20responsive%20social%20protection%20systems%2FRepository%20of%20tools%20on%20Shock%20Responsive%20Social%20Protection&amp;viewid=45c55bfa%2D0818%2D4fb8%2D900b%2Dc557d3d925b4" TargetMode="External"/><Relationship Id="rId13" Type="http://schemas.openxmlformats.org/officeDocument/2006/relationships/hyperlink" Target="https://docs.google.com/spreadsheets/d/1jOccDGpMRTe7tqzJTPIEyaToZhZwNtDXMNinbLV2qDU/edit" TargetMode="External"/><Relationship Id="rId18" Type="http://schemas.openxmlformats.org/officeDocument/2006/relationships/hyperlink" Target="https://www.calpnetwork.org/wp-content/uploads/2020/01/operational-guidance-and-toolkit-for-multipurpose-cash-grants-web.pdf" TargetMode="External"/><Relationship Id="rId3" Type="http://schemas.openxmlformats.org/officeDocument/2006/relationships/styles" Target="styles.xml"/><Relationship Id="rId21" Type="http://schemas.openxmlformats.org/officeDocument/2006/relationships/hyperlink" Target="https://unicef.sharepoint.com/teams/EMOPS-HCT/SitePages/One-Stop-Shop.aspx" TargetMode="External"/><Relationship Id="rId7" Type="http://schemas.openxmlformats.org/officeDocument/2006/relationships/endnotes" Target="endnotes.xml"/><Relationship Id="rId12" Type="http://schemas.openxmlformats.org/officeDocument/2006/relationships/hyperlink" Target="https://www.calpnetwork.org/publication/cash-coordination-tip-sheet/" TargetMode="External"/><Relationship Id="rId17" Type="http://schemas.openxmlformats.org/officeDocument/2006/relationships/hyperlink" Target="https://www.calpnetwork.org/publication/supporting-the-linkages-between-humanitarian-cash-and-voucher-assistance-and-national-social-protection-systems/" TargetMode="External"/><Relationship Id="rId2" Type="http://schemas.openxmlformats.org/officeDocument/2006/relationships/numbering" Target="numbering.xml"/><Relationship Id="rId16" Type="http://schemas.openxmlformats.org/officeDocument/2006/relationships/hyperlink" Target="https://unicef.sharepoint.com/sites/EMOPS-HKR/Cash/Forms/AllItems.aspx?FolderCTID=0x012000E78AD6351DC5164FA875A832DBEC6BDD&amp;id=%2Fsites%2FEMOPS%2DHKR%2FCash%2F1%2E%20UNICEF%20Approach%20to%20HCT%2FHCT%20Guidance%2FUNICEF%20Humanitarian%20Cash%20Transfers%20Field%20Guidance%5F2021%2Epdf&amp;parent=%2Fsites%2FEMOPS%2DHKR%2FCash%2F1%2E%20UNICEF%20Approach%20to%20HCT%2FHCT%20Guidance" TargetMode="External"/><Relationship Id="rId20" Type="http://schemas.openxmlformats.org/officeDocument/2006/relationships/hyperlink" Target="mailto:cmariani@unicef.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cef.sharepoint.com/sites/EMOPS-HKR/Cash/Forms/AllItems.aspx?FolderCTID=0x012000E78AD6351DC5164FA875A832DBEC6BDD&amp;id=%2Fsites%2FEMOPS%2DHKR%2FCash%2F1%2E%20UNICEF%20Approach%20to%20HCT%2FHCT%20Guidance%2FUNICEF%20Humanitarian%20Cash%20Transfers%20Field%20Guidance%5F2021%2Epdf&amp;parent=%2Fsites%2FEMOPS%2DHKR%2FCash%2F1%2E%20UNICEF%20Approach%20to%20HCT%2FHCT%20Guidance" TargetMode="External"/><Relationship Id="rId5" Type="http://schemas.openxmlformats.org/officeDocument/2006/relationships/webSettings" Target="webSettings.xml"/><Relationship Id="rId15" Type="http://schemas.openxmlformats.org/officeDocument/2006/relationships/hyperlink" Target="https://www.calpnetwork.org/publication/cash-coordination-tip-sheet/" TargetMode="External"/><Relationship Id="rId23" Type="http://schemas.openxmlformats.org/officeDocument/2006/relationships/theme" Target="theme/theme1.xml"/><Relationship Id="rId10" Type="http://schemas.openxmlformats.org/officeDocument/2006/relationships/hyperlink" Target="https://www.calpnetwork.org/publication/working-with-cash-based-safety-nets-in-humanitarian-contexts-guidance-note-for-humanitarian-practitioners/" TargetMode="External"/><Relationship Id="rId19" Type="http://schemas.openxmlformats.org/officeDocument/2006/relationships/hyperlink" Target="mailto:nkukrety@unicef.org" TargetMode="External"/><Relationship Id="rId4" Type="http://schemas.openxmlformats.org/officeDocument/2006/relationships/settings" Target="settings.xml"/><Relationship Id="rId9" Type="http://schemas.openxmlformats.org/officeDocument/2006/relationships/hyperlink" Target="https://unicef.sharepoint.com/sites/EMOPS-HKR/Cash/Forms/AllItems.aspx?FolderCTID=0x012000E78AD6351DC5164FA875A832DBEC6BDD&amp;id=%2Fsites%2FEMOPS%2DHKR%2FCash%2F1%2E%20UNICEF%20Approach%20to%20HCT%2FHCT%20Guidance%2FUNICEF%20Humanitarian%20Cash%20Transfers%20Field%20Guidance%5F2021%2Epdf&amp;parent=%2Fsites%2FEMOPS%2DHKR%2FCash%2F1%2E%20UNICEF%20Approach%20to%20HCT%2FHCT%20Guidance" TargetMode="External"/><Relationship Id="rId14" Type="http://schemas.openxmlformats.org/officeDocument/2006/relationships/hyperlink" Target="https://www.nrc.no/expert-deployment/what-we-do/cashca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0157-F62D-431D-B52A-6AE6112D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2604</Words>
  <Characters>14848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Mathers,NJ  (pgr)</dc:creator>
  <cp:keywords/>
  <dc:description/>
  <cp:lastModifiedBy>Nupur Kukrety</cp:lastModifiedBy>
  <cp:revision>7</cp:revision>
  <dcterms:created xsi:type="dcterms:W3CDTF">2021-12-17T22:00:00Z</dcterms:created>
  <dcterms:modified xsi:type="dcterms:W3CDTF">2022-01-24T20:09:00Z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4860899d-8f6d-3eb2-b856-718754cba328</vt:lpwstr>
  </property>
</Properties>
</file>